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28" w:rsidRDefault="007C3B28" w:rsidP="007C3B28">
      <w:pPr>
        <w:pStyle w:val="11"/>
        <w:keepNext/>
        <w:keepLines/>
        <w:shd w:val="clear" w:color="auto" w:fill="auto"/>
        <w:spacing w:line="271" w:lineRule="auto"/>
      </w:pPr>
      <w:r>
        <w:t>ПРИМЕРНЫЕ ТЕМАТИЧЕСКИЕ ПЛАНЫ И ПРОГРАММЫ</w:t>
      </w:r>
      <w:r>
        <w:br/>
        <w:t>ТЕОРЕТИЧЕСКОГО ОБУЧЕНИЯ</w:t>
      </w: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i/>
          <w:iCs/>
        </w:rPr>
        <w:t>Экономический курс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</w:pPr>
      <w:bookmarkStart w:id="0" w:name="bookmark4"/>
      <w:bookmarkStart w:id="1" w:name="bookmark5"/>
      <w:r>
        <w:t>Основы экономических знаний</w:t>
      </w:r>
      <w:bookmarkEnd w:id="0"/>
      <w:bookmarkEnd w:id="1"/>
    </w:p>
    <w:p w:rsidR="007C3B28" w:rsidRDefault="007C3B28" w:rsidP="007C3B28">
      <w:pPr>
        <w:pStyle w:val="1"/>
        <w:shd w:val="clear" w:color="auto" w:fill="auto"/>
        <w:spacing w:after="120"/>
        <w:ind w:firstLine="760"/>
        <w:jc w:val="both"/>
      </w:pPr>
      <w:r>
        <w:t>Предмет изучается по примерным учебным планам и программам «Основы экономических знаний» для профессиональной подготовки, переподготовки и повышения квалификации рабочих кадров, утвержденным ОАО «РЖД» 29 декабря 2010 г.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</w:pPr>
      <w:bookmarkStart w:id="2" w:name="bookmark6"/>
      <w:bookmarkStart w:id="3" w:name="bookmark7"/>
      <w:r>
        <w:t>Основы российского законодательства</w:t>
      </w:r>
      <w:bookmarkEnd w:id="2"/>
      <w:bookmarkEnd w:id="3"/>
    </w:p>
    <w:p w:rsidR="007C3B28" w:rsidRDefault="007C3B28" w:rsidP="007C3B28">
      <w:pPr>
        <w:pStyle w:val="1"/>
        <w:shd w:val="clear" w:color="auto" w:fill="auto"/>
        <w:spacing w:after="120"/>
        <w:ind w:firstLine="760"/>
        <w:jc w:val="both"/>
      </w:pPr>
      <w:r>
        <w:t>Предмет изучается по примерным учебным планам и программам «Основы российского законодательства» для профессиональной подготовки, переподготовки и повышения квалификации рабочих кадров, утвержденным ОАО «РЖД» 14 декабря 2010 г.</w:t>
      </w: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i/>
          <w:iCs/>
        </w:rPr>
        <w:t>Общетехнический курс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</w:pPr>
      <w:bookmarkStart w:id="4" w:name="bookmark8"/>
      <w:bookmarkStart w:id="5" w:name="bookmark9"/>
      <w:r>
        <w:t>Основы информатики и вычислительной техники</w:t>
      </w:r>
      <w:bookmarkEnd w:id="4"/>
      <w:bookmarkEnd w:id="5"/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760"/>
        <w:jc w:val="both"/>
      </w:pPr>
      <w:r>
        <w:t>Предмет изучается по примерным учебным планам и программам «Основы информатики и вычислительной техники» для профессиональной подготовки, переподготовки и повышения квалификации рабочих кадров, утвержденным ОАО «РЖД» 27 ноября 2012 г.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6" w:name="bookmark10"/>
      <w:bookmarkStart w:id="7" w:name="bookmark11"/>
      <w:r>
        <w:t>Общий курс железных дорог</w:t>
      </w:r>
      <w:bookmarkEnd w:id="6"/>
      <w:bookmarkEnd w:id="7"/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760"/>
        <w:jc w:val="both"/>
      </w:pPr>
      <w:r>
        <w:t>Предмет изучается по примерным учебным планам и программам «Общий курс железных дорог» для профессиональной подготовки, переподготовки и повышения квалификации рабочих кадров, утвержденным ОАО «РЖД» 7 сентября 2011 г.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8" w:name="bookmark12"/>
      <w:bookmarkStart w:id="9" w:name="bookmark13"/>
      <w:r>
        <w:t>Охрана труда</w:t>
      </w:r>
      <w:bookmarkEnd w:id="8"/>
      <w:bookmarkEnd w:id="9"/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760"/>
        <w:jc w:val="both"/>
      </w:pPr>
      <w:r>
        <w:t>Предмет изучается по примерным учебным планам и программам «Охрана труда» для профессиональной подготовки, переподготовки и повышения квалификации рабочих кадров, утвержденным ОАО «РЖД» 30 июля 2010 г.</w:t>
      </w:r>
    </w:p>
    <w:p w:rsidR="007C3B28" w:rsidRDefault="007C3B28" w:rsidP="007C3B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10" w:name="bookmark14"/>
      <w:bookmarkStart w:id="11" w:name="bookmark15"/>
      <w:r>
        <w:t>Гражданская оборона</w:t>
      </w:r>
      <w:bookmarkEnd w:id="10"/>
      <w:bookmarkEnd w:id="11"/>
    </w:p>
    <w:p w:rsidR="007C3B28" w:rsidRDefault="007C3B28" w:rsidP="007C3B28">
      <w:pPr>
        <w:pStyle w:val="1"/>
        <w:shd w:val="clear" w:color="auto" w:fill="auto"/>
        <w:spacing w:after="120" w:line="271" w:lineRule="auto"/>
        <w:ind w:firstLine="760"/>
        <w:jc w:val="both"/>
      </w:pPr>
      <w:r>
        <w:t>Предмет изучается по примерным учебным планам и программам «Гражданская оборона» для профессиональной подготовки, переподготовки и повышения квалификации рабочих кадров, утвержденным ОАО «РЖД» 7 августа 2012 г.</w:t>
      </w:r>
    </w:p>
    <w:p w:rsidR="007C3B28" w:rsidRDefault="007C3B28" w:rsidP="007C3B28">
      <w:pPr>
        <w:pStyle w:val="a5"/>
        <w:shd w:val="clear" w:color="auto" w:fill="auto"/>
        <w:spacing w:after="140" w:line="240" w:lineRule="auto"/>
      </w:pPr>
      <w:r>
        <w:rPr>
          <w:b w:val="0"/>
          <w:bCs w:val="0"/>
          <w:i/>
          <w:iCs/>
        </w:rPr>
        <w:t>Специальный курс</w:t>
      </w:r>
    </w:p>
    <w:p w:rsidR="007C3B28" w:rsidRDefault="007C3B28" w:rsidP="007C3B28">
      <w:pPr>
        <w:pStyle w:val="a5"/>
        <w:shd w:val="clear" w:color="auto" w:fill="auto"/>
        <w:spacing w:after="140" w:line="240" w:lineRule="auto"/>
      </w:pPr>
      <w:r>
        <w:lastRenderedPageBreak/>
        <w:t>7. Транспортная география</w:t>
      </w:r>
    </w:p>
    <w:p w:rsidR="007C3B28" w:rsidRDefault="007C3B28" w:rsidP="007C3B28">
      <w:pPr>
        <w:pStyle w:val="a5"/>
        <w:shd w:val="clear" w:color="auto" w:fill="auto"/>
        <w:spacing w:after="140" w:line="240" w:lineRule="auto"/>
      </w:pPr>
      <w: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789"/>
        <w:gridCol w:w="1411"/>
        <w:gridCol w:w="1488"/>
      </w:tblGrid>
      <w:tr w:rsidR="007C3B28" w:rsidTr="00E90482">
        <w:trPr>
          <w:trHeight w:hRule="exact" w:val="41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7.1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4" w:lineRule="auto"/>
              <w:ind w:firstLine="0"/>
            </w:pPr>
            <w:r>
              <w:t>Общие сведения о единой транспортной сети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7.2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tabs>
                <w:tab w:val="left" w:pos="1752"/>
                <w:tab w:val="left" w:pos="4056"/>
              </w:tabs>
              <w:spacing w:line="240" w:lineRule="auto"/>
              <w:ind w:firstLine="0"/>
            </w:pPr>
            <w:r>
              <w:t>Г еография</w:t>
            </w:r>
            <w:r>
              <w:tab/>
              <w:t>транспортных</w:t>
            </w:r>
            <w:r>
              <w:tab/>
              <w:t>направлений</w:t>
            </w:r>
          </w:p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перевозок. Схема железных дорог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7C3B28" w:rsidTr="00E90482"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B28" w:rsidRDefault="007C3B28" w:rsidP="00E90482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7C3B28" w:rsidRDefault="007C3B28" w:rsidP="007C3B28">
      <w:pPr>
        <w:spacing w:after="119" w:line="1" w:lineRule="exact"/>
      </w:pPr>
    </w:p>
    <w:p w:rsidR="007C3B28" w:rsidRDefault="007C3B28" w:rsidP="007C3B28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Программа</w:t>
      </w:r>
    </w:p>
    <w:p w:rsidR="007C3B28" w:rsidRDefault="007C3B28" w:rsidP="007C3B28">
      <w:pPr>
        <w:pStyle w:val="11"/>
        <w:keepNext/>
        <w:keepLines/>
        <w:shd w:val="clear" w:color="auto" w:fill="auto"/>
      </w:pPr>
      <w:bookmarkStart w:id="12" w:name="bookmark16"/>
      <w:bookmarkStart w:id="13" w:name="bookmark17"/>
      <w:r>
        <w:t>Тема 7.1 Общие сведения о единой транспортной сети</w:t>
      </w:r>
      <w:r>
        <w:br/>
        <w:t>Российской Федерации</w:t>
      </w:r>
      <w:bookmarkEnd w:id="12"/>
      <w:bookmarkEnd w:id="13"/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Роль и задачи транспорта. Единая транспортная сеть Российской Федерации. Характеристика транспортной сети Российской Федерации. Управление транспортной сетью в Российской Федерации. Мировые, национальные, региональные транспортные системы в едином экономическом пространстве.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Структура транспортной системы (железнодорожный, морской, речной, трубопроводный, автомобильный, воздушный транспорт). Транспортные узлы и коридоры. Доля различных видов транспорта в освоении грузо- и пассажирооборота.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Железнодорожный транспорт общего и необщего пользования. Основные акты транспортного законодательства в области железнодорожного транспорта. Взаимодействие видов транспорта.</w:t>
      </w:r>
    </w:p>
    <w:p w:rsidR="007C3B28" w:rsidRDefault="007C3B28" w:rsidP="007C3B28">
      <w:pPr>
        <w:pStyle w:val="1"/>
        <w:shd w:val="clear" w:color="auto" w:fill="auto"/>
        <w:spacing w:after="120"/>
        <w:ind w:firstLine="740"/>
        <w:jc w:val="both"/>
      </w:pPr>
      <w:r>
        <w:t>Перемещения населения (деловые, служебные, частные, туризм, экскурсии, миграция). Мультимодальные грузоперевозки.</w:t>
      </w:r>
    </w:p>
    <w:p w:rsidR="007C3B28" w:rsidRDefault="007C3B28" w:rsidP="007C3B28">
      <w:pPr>
        <w:pStyle w:val="11"/>
        <w:keepNext/>
        <w:keepLines/>
        <w:shd w:val="clear" w:color="auto" w:fill="auto"/>
        <w:spacing w:line="271" w:lineRule="auto"/>
      </w:pPr>
      <w:bookmarkStart w:id="14" w:name="bookmark18"/>
      <w:bookmarkStart w:id="15" w:name="bookmark19"/>
      <w:r>
        <w:t>Тема 7.2 География транспортных направлений перевозок. Схема</w:t>
      </w:r>
      <w:r>
        <w:br/>
        <w:t>железных дорог</w:t>
      </w:r>
      <w:bookmarkEnd w:id="14"/>
      <w:bookmarkEnd w:id="15"/>
    </w:p>
    <w:p w:rsidR="007C3B28" w:rsidRDefault="007C3B28" w:rsidP="007C3B28">
      <w:pPr>
        <w:pStyle w:val="1"/>
        <w:shd w:val="clear" w:color="auto" w:fill="auto"/>
        <w:spacing w:line="269" w:lineRule="auto"/>
        <w:ind w:firstLine="740"/>
        <w:jc w:val="both"/>
      </w:pPr>
      <w:r>
        <w:t>Формирование железнодорожной сети Российской Федерации.</w:t>
      </w: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740"/>
        <w:jc w:val="both"/>
      </w:pPr>
      <w:r>
        <w:t>Основные железнодорожные направления, крупнейшие железнодорожные станции и железнодорожные узлы на каждом направлении. Порядок пользования «Атласом схем железных дорог государств-участников СНГ, Латвии, Литвы, Эстонии». Железнодорожные станции и районы, между которыми установлено прямое железнодорожное сообщение; важнейшие железнодорожные узлы - пункты пересадки пассажиров. Понятие о разноименных железнодорожных станциях и городах.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 xml:space="preserve">Порты и пристани, участвующие в прямых смешанных </w:t>
      </w:r>
      <w:r>
        <w:lastRenderedPageBreak/>
        <w:t>железнодорожно</w:t>
      </w:r>
      <w:r>
        <w:softHyphen/>
        <w:t>водном и железнодорожно-автомобильном пассажирских сообщениях.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Содержание «Указателя железнодорожных пассажирских сообщений» и тарифных руководств №4 и №5.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Перечень станций, открытых для операций по приему и выдаче грузобагажа от предприятий, учреждений, организаций.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Перечень станций Российской Федерации, открытых для багажа пассажиров и грузобагажа граждан в международном сообщении.</w:t>
      </w:r>
    </w:p>
    <w:p w:rsidR="007C3B28" w:rsidRDefault="007C3B28" w:rsidP="007C3B28">
      <w:pPr>
        <w:pStyle w:val="1"/>
        <w:shd w:val="clear" w:color="auto" w:fill="auto"/>
        <w:spacing w:after="120"/>
        <w:ind w:firstLine="760"/>
        <w:jc w:val="both"/>
      </w:pPr>
      <w:r>
        <w:t>Железнодорожные станции, между которыми установлено международное пассажирское сообщение; пункты пересадки пассажиров и перегрузки багажа и товаробагажа (грузобагажа) в международном сообщении. Содержание и порядок пользования «Соглашением о международном пассажирском сообщении» (СМПС).</w:t>
      </w:r>
    </w:p>
    <w:p w:rsidR="007C3B28" w:rsidRDefault="007C3B28" w:rsidP="007C3B28">
      <w:pPr>
        <w:pStyle w:val="a5"/>
        <w:shd w:val="clear" w:color="auto" w:fill="auto"/>
        <w:spacing w:line="360" w:lineRule="auto"/>
      </w:pPr>
      <w:r>
        <w:t>8. Багажные и грузобагажные перевозки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510"/>
        <w:gridCol w:w="1555"/>
        <w:gridCol w:w="1594"/>
      </w:tblGrid>
      <w:tr w:rsidR="007C3B28" w:rsidTr="00E90482">
        <w:trPr>
          <w:trHeight w:hRule="exact" w:val="38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bidi="en-US"/>
              </w:rPr>
              <w:t>f-T-’</w:t>
            </w:r>
          </w:p>
          <w:p w:rsidR="007C3B28" w:rsidRDefault="007C3B28" w:rsidP="00E90482">
            <w:pPr>
              <w:pStyle w:val="a7"/>
              <w:shd w:val="clear" w:color="auto" w:fill="auto"/>
              <w:spacing w:line="18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Перевозка багажа и грузобагажа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7C3B28" w:rsidTr="00E90482">
        <w:trPr>
          <w:trHeight w:hRule="exact" w:val="3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Технология работы багажного отделения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Весовое хозяйство. Виды механизмов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4" w:lineRule="auto"/>
              <w:ind w:firstLine="0"/>
            </w:pPr>
            <w:r>
              <w:t>Обеспечение сохранности багажа и грузобагажа при перевозках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Актово-претензионная работа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B28" w:rsidRDefault="007C3B28" w:rsidP="00E90482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26</w:t>
            </w:r>
          </w:p>
        </w:tc>
      </w:tr>
    </w:tbl>
    <w:p w:rsidR="007C3B28" w:rsidRDefault="007C3B28" w:rsidP="007C3B28">
      <w:pPr>
        <w:spacing w:after="119" w:line="1" w:lineRule="exact"/>
      </w:pP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b/>
          <w:bCs/>
        </w:rPr>
        <w:t>Программа</w:t>
      </w: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b/>
          <w:bCs/>
        </w:rPr>
        <w:t>Тема 8.1 Перевозка багажа и грузобагажа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Понятия «багаж» и «грузобагаж». Действующие нормативные документы о порядке перевозки багажа и грузобагажа по железным дорогам. Основные положения Федерального закона Российской Федерации от 10.01.2003 №17-ФЗ «О железнодорожном транспорте в Российской Федерации» и Федерального закона Российской Федерации от 10.01.2003 №18-ФЗ «Устав железнодорожного транспорта Российской Федерации».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«Правила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деятельности», утвержденные постановлением Правительства Российской Федерации от 02.03.2005 №111.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 xml:space="preserve">«Правила перевозок пассажиров, багажа и товаробагажа (грузобагажа) на федеральном железнодорожном транспорте», утвержденные приказом МПС </w:t>
      </w:r>
      <w:r>
        <w:lastRenderedPageBreak/>
        <w:t>России от 26.07.2002 №30.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Порядок перевозки грузов Министерства финансов, почты.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Перевозка багажа и грузобагажа в международном сообщении, межгосударственном сообщении по железным дорогам СНГ, Латвийской Республики, Литовской Республики и Эстонской Республики.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Условия приема к перевозке багажа и грузобагажа. Требования, предъявляемые к упаковке.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Порядок провоза собак и кошек, мелких домашних животных, птиц и пчел в качестве багажа.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Перевозка растений, посадочных материалов, домашних вещей.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Порядок перевозки гроба с телом умершего.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Порядок провоза мотоциклов, мотороллеров, мопедов, телевизоров, аудио- и видеоаппаратуры и других вещей.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Перевозка багажа и грузобагажа по транспортным требованиям ОАО «РЖД» (формы 7 и 8).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Особенности оформления и перевозки багажа и грузобагажа военнослужащих.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Правила перевозок опасных (радиационных) и скоропортящихся грузов. Перевозка биопрепаратов.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Перечень грузов, запрещенных к перевозке в качестве багажа и грузобагажа.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Знакомство с планом формирования почтово-багажных поездов и вагонов; порядок перевозки в них багажа и грузобагажа.</w:t>
      </w:r>
    </w:p>
    <w:p w:rsidR="007C3B28" w:rsidRDefault="007C3B28" w:rsidP="007C3B28">
      <w:pPr>
        <w:pStyle w:val="1"/>
        <w:shd w:val="clear" w:color="auto" w:fill="auto"/>
        <w:spacing w:after="120" w:line="264" w:lineRule="auto"/>
        <w:ind w:firstLine="760"/>
        <w:jc w:val="both"/>
      </w:pPr>
      <w:r>
        <w:t>Организация перевозки багажа и грузобагажа во внутригосударственном и международном сообщениях.</w:t>
      </w:r>
    </w:p>
    <w:p w:rsidR="007C3B28" w:rsidRDefault="007C3B28" w:rsidP="007C3B28">
      <w:pPr>
        <w:pStyle w:val="1"/>
        <w:shd w:val="clear" w:color="auto" w:fill="auto"/>
        <w:spacing w:after="120" w:line="264" w:lineRule="auto"/>
        <w:ind w:firstLine="0"/>
        <w:jc w:val="center"/>
      </w:pPr>
      <w:r>
        <w:rPr>
          <w:b/>
          <w:bCs/>
        </w:rPr>
        <w:t>Тема 8.2 Технология работы багажного отделения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Расположение багажных устройств на территории железнодорожной станции. Классификация и характеристика работы багажных отделений. Элементы и структура багажного отделения. Технологический процесс работы багажного отделения.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Оперативное планирование работы вокзала и багажного отделения.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Порядок работы штата багажного отделения.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Специализация багажных помещений; их оборудование и оснащение средствами пожаротушения.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Прием и сдача дежурства приемосдатчиком груза и багажа на станции (в багажном отделении).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  <w:sectPr w:rsidR="007C3B28">
          <w:headerReference w:type="default" r:id="rId5"/>
          <w:headerReference w:type="first" r:id="rId6"/>
          <w:pgSz w:w="11900" w:h="16840"/>
          <w:pgMar w:top="1205" w:right="887" w:bottom="1043" w:left="1452" w:header="0" w:footer="3" w:gutter="0"/>
          <w:pgNumType w:start="1"/>
          <w:cols w:space="720"/>
          <w:noEndnote/>
          <w:titlePg/>
          <w:docGrid w:linePitch="360"/>
        </w:sectPr>
      </w:pPr>
      <w:r>
        <w:t>Действующие нормативные документы, используемые в работе приемосдатчиком груза и багажа на станции (в багажном отделении).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lastRenderedPageBreak/>
        <w:t>Служебные обязанности приемосдатчика груза и багажа на станции (в багажном отделении) и его служебное подчинение.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Порядок приема багажа и грузобагажа на железнодорожной станции: проверка проездных документов, правильности упаковки, отправительской маркировки; взвешивание багажа и грузобагажа; заполнение ярлыка; вручение проездных документов и ярлыка пассажиру (отправителю). Объявление ценности багажа и грузобагажа. Правила маркировки багажа и грузобагажа. Нанесение железнодорожной маркировки. Порядок оплаты перевозки багажа и грузобагажа.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Правила оформления перевозочных документов на багаж и грузобагаж.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Порядок хранения прибывшего и предварительно принятого багажа и грузобагажа.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Порядок рационального размещения багажа и грузобагажа в соответствии с направлениями и маршрутами поездов в складских помещениях или на тележке.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Учет принятого к перевозке багажа и грузобагажа и ответственность за его сохранность. Правила составления сдаточных списков.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Порядок погрузки багажа, грузобагажа и передачи перевозочных документов в багажный вагон на станциях отправления.</w:t>
      </w:r>
    </w:p>
    <w:p w:rsidR="007C3B28" w:rsidRDefault="007C3B28" w:rsidP="007C3B28">
      <w:pPr>
        <w:pStyle w:val="1"/>
        <w:shd w:val="clear" w:color="auto" w:fill="auto"/>
        <w:spacing w:after="120" w:line="257" w:lineRule="auto"/>
        <w:ind w:firstLine="760"/>
        <w:jc w:val="both"/>
      </w:pPr>
      <w:r>
        <w:t>Технология переработки транзитного багажа и грузобагажа.</w:t>
      </w:r>
    </w:p>
    <w:p w:rsidR="007C3B28" w:rsidRDefault="007C3B28" w:rsidP="007C3B28">
      <w:pPr>
        <w:pStyle w:val="1"/>
        <w:shd w:val="clear" w:color="auto" w:fill="auto"/>
        <w:spacing w:after="120" w:line="257" w:lineRule="auto"/>
        <w:ind w:firstLine="0"/>
        <w:jc w:val="center"/>
      </w:pPr>
      <w:r>
        <w:rPr>
          <w:b/>
          <w:bCs/>
        </w:rPr>
        <w:t>Тема 8.3 Весовое хозяйство. Виды механизмов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Значение измерения массы груза. Принцип действия и устройство весов. Основные метрологические характеристики весов. Типы весов. Технический надзор за средствами измерений массы. Государственные поверки и ведомственный контроль; сроки их проведения.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Места наложения и содержание государственных поверительных клейм.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Проверка правильности показаний весов.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Проверка наличия принадлежностей к весам.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Порядок взвешивания и регистрации багажа и грузобагажа. Результаты взвешивания.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Порядок действий приемосдатчика груза и багажа багажного отделения при выявлении неисправности весов.</w:t>
      </w:r>
    </w:p>
    <w:p w:rsidR="007C3B28" w:rsidRDefault="007C3B28" w:rsidP="007C3B28">
      <w:pPr>
        <w:pStyle w:val="1"/>
        <w:shd w:val="clear" w:color="auto" w:fill="auto"/>
        <w:spacing w:after="120" w:line="262" w:lineRule="auto"/>
        <w:ind w:firstLine="760"/>
        <w:jc w:val="both"/>
      </w:pPr>
      <w:r>
        <w:t>Использование средств механизации и автоматизации при переработке багажа и грузобагажа. Погрузочно-разгрузочные механизмы и инвентарь; проверка их наличия и состояния; эффективное использование.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0"/>
        <w:jc w:val="center"/>
      </w:pPr>
      <w:r>
        <w:rPr>
          <w:b/>
          <w:bCs/>
        </w:rPr>
        <w:t>Тема 8.4 Обеспечение сохранности багажа и грузобагажа</w:t>
      </w:r>
    </w:p>
    <w:p w:rsidR="007C3B28" w:rsidRDefault="007C3B28" w:rsidP="007C3B28">
      <w:pPr>
        <w:pStyle w:val="1"/>
        <w:shd w:val="clear" w:color="auto" w:fill="auto"/>
        <w:spacing w:after="120" w:line="257" w:lineRule="auto"/>
        <w:ind w:firstLine="0"/>
        <w:jc w:val="center"/>
      </w:pPr>
      <w:r>
        <w:rPr>
          <w:b/>
          <w:bCs/>
        </w:rPr>
        <w:t>при перевозках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 xml:space="preserve">Организационно-технические мероприятия по обеспечению </w:t>
      </w:r>
      <w:r>
        <w:lastRenderedPageBreak/>
        <w:t>сохранности багажа и грузобагажа. Объявление ценности багажа и грузобагажа.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Требования, предъявляемые к таре и упаковке грузов багажа, грузобагажа, качеству перевозимой продукции техническими условиями и иными актами.</w:t>
      </w:r>
    </w:p>
    <w:p w:rsidR="007C3B28" w:rsidRDefault="007C3B28" w:rsidP="007C3B28">
      <w:pPr>
        <w:pStyle w:val="1"/>
        <w:shd w:val="clear" w:color="auto" w:fill="auto"/>
        <w:spacing w:after="120"/>
        <w:ind w:firstLine="740"/>
        <w:jc w:val="both"/>
      </w:pPr>
      <w:r>
        <w:t>Основные случаи и причины несохранности багажа и грузобагажа при погрузке, выгрузке или перегрузке. Оформление и расследование случаев несохранных перевозок. Ответственность за несохранность перевозимого багажа и грузобагажа. Положения Федерального закона Российской Федерации от 10.01.2003 №17-ФЗ «О железнодорожном транспорте в Российской Федерации» и Федерального закона Российской Федерации от 10.01.2003 №18-ФЗ «Устав железнодорожного транспорта Российской Федерации» об ответственности за несохранную перевозку багажа и грузобагажа на железнодорожном транспорте.</w:t>
      </w:r>
    </w:p>
    <w:p w:rsidR="007C3B28" w:rsidRDefault="007C3B28" w:rsidP="007C3B28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8.5 Актово-претензионная работа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Причины и порядок составления коммерческих актов и актов общей формы. Работа по розыску багажа, грузобагажа и перевозочных документов на них.</w:t>
      </w:r>
    </w:p>
    <w:p w:rsidR="007C3B28" w:rsidRDefault="007C3B28" w:rsidP="007C3B28">
      <w:pPr>
        <w:pStyle w:val="1"/>
        <w:shd w:val="clear" w:color="auto" w:fill="auto"/>
        <w:spacing w:after="120"/>
        <w:ind w:firstLine="740"/>
        <w:jc w:val="both"/>
      </w:pPr>
      <w:r>
        <w:t>Претензии и иски; основные сведения о порядке их рассмотрения. Служебная инструкция по актово-претензионной работе на железных дорогах. Порядок оформления и регистрации коммерческих актов.</w:t>
      </w:r>
    </w:p>
    <w:p w:rsidR="007C3B28" w:rsidRDefault="007C3B28" w:rsidP="007C3B28">
      <w:pPr>
        <w:pStyle w:val="1"/>
        <w:shd w:val="clear" w:color="auto" w:fill="auto"/>
        <w:spacing w:after="180" w:line="269" w:lineRule="auto"/>
        <w:ind w:firstLine="0"/>
        <w:jc w:val="center"/>
      </w:pPr>
      <w:r>
        <w:rPr>
          <w:b/>
          <w:bCs/>
        </w:rPr>
        <w:t>9. Технология выполнения работ приемосдатчиком</w:t>
      </w:r>
      <w:r>
        <w:rPr>
          <w:b/>
          <w:bCs/>
        </w:rPr>
        <w:br/>
        <w:t>груза и багажа в поездах</w:t>
      </w:r>
    </w:p>
    <w:p w:rsidR="007C3B28" w:rsidRDefault="007C3B28" w:rsidP="007C3B28">
      <w:pPr>
        <w:pStyle w:val="a5"/>
        <w:shd w:val="clear" w:color="auto" w:fill="auto"/>
      </w:pPr>
      <w: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654"/>
        <w:gridCol w:w="1550"/>
        <w:gridCol w:w="1565"/>
      </w:tblGrid>
      <w:tr w:rsidR="007C3B28" w:rsidTr="00E90482">
        <w:trPr>
          <w:trHeight w:hRule="exact" w:val="38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trHeight w:hRule="exact" w:val="37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6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9.1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9" w:lineRule="auto"/>
              <w:ind w:firstLine="0"/>
            </w:pPr>
            <w:r>
              <w:t>Должностные обязанности приемосдатчика груза и багажа в поездах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9.2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9" w:lineRule="auto"/>
              <w:ind w:firstLine="0"/>
            </w:pPr>
            <w:r>
              <w:t>Ответственность приемосдатчика груза и багажа в поездах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7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9.3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9" w:lineRule="auto"/>
              <w:ind w:firstLine="0"/>
            </w:pPr>
            <w:r>
              <w:t>Порядок действий приемосдатчика груза и багажа в поездах в нештатных ситуациях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B28" w:rsidRDefault="007C3B28" w:rsidP="00E90482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</w:tr>
    </w:tbl>
    <w:p w:rsidR="007C3B28" w:rsidRDefault="007C3B28" w:rsidP="007C3B28">
      <w:pPr>
        <w:spacing w:after="119" w:line="1" w:lineRule="exact"/>
      </w:pP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b/>
          <w:bCs/>
        </w:rPr>
        <w:t>Программа</w:t>
      </w:r>
    </w:p>
    <w:p w:rsidR="007C3B28" w:rsidRDefault="007C3B28" w:rsidP="007C3B28">
      <w:pPr>
        <w:pStyle w:val="11"/>
        <w:keepNext/>
        <w:keepLines/>
        <w:shd w:val="clear" w:color="auto" w:fill="auto"/>
        <w:spacing w:after="80"/>
      </w:pPr>
      <w:bookmarkStart w:id="16" w:name="bookmark20"/>
      <w:bookmarkStart w:id="17" w:name="bookmark21"/>
      <w:r>
        <w:t>Тема 9.1 Должностные обязанности приемосдатчика</w:t>
      </w:r>
      <w:r>
        <w:br/>
        <w:t>груза и багажа в поездах</w:t>
      </w:r>
      <w:bookmarkEnd w:id="16"/>
      <w:bookmarkEnd w:id="17"/>
    </w:p>
    <w:p w:rsidR="007C3B28" w:rsidRDefault="007C3B28" w:rsidP="007C3B28">
      <w:pPr>
        <w:pStyle w:val="1"/>
        <w:shd w:val="clear" w:color="auto" w:fill="auto"/>
        <w:spacing w:line="240" w:lineRule="auto"/>
        <w:ind w:firstLine="740"/>
        <w:jc w:val="both"/>
      </w:pPr>
      <w:r>
        <w:t>Кодекс деловой этики. Этика делового общения. Культура обслуживания.</w:t>
      </w:r>
    </w:p>
    <w:p w:rsidR="007C3B28" w:rsidRDefault="007C3B28" w:rsidP="007C3B28">
      <w:pPr>
        <w:pStyle w:val="1"/>
        <w:shd w:val="clear" w:color="auto" w:fill="auto"/>
        <w:spacing w:after="120" w:line="276" w:lineRule="auto"/>
        <w:ind w:firstLine="740"/>
        <w:jc w:val="both"/>
      </w:pPr>
      <w:r>
        <w:lastRenderedPageBreak/>
        <w:t>Действующие нормативные документы, используемые в работе приемосдатчиком груза и багажа в поездах.</w:t>
      </w:r>
    </w:p>
    <w:p w:rsidR="007C3B28" w:rsidRDefault="007C3B28" w:rsidP="007C3B28">
      <w:pPr>
        <w:pStyle w:val="1"/>
        <w:shd w:val="clear" w:color="auto" w:fill="auto"/>
        <w:spacing w:line="257" w:lineRule="auto"/>
        <w:ind w:firstLine="760"/>
        <w:jc w:val="both"/>
      </w:pPr>
      <w:r>
        <w:t>Требования, предъявляемые к приемосдатчику груза и багажа в поездах, его обязанности и ответственность.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«Инструкция приемосдатчику груза и багажа на станции и приемосдатчику груза и багажа в поездах», утвержденная МПС СССР 30.06.1989 №ЦЛ-4705.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«Инструкция приемосдатчику багажа и грузобагажа в пассажирских поездах международного сообщения между государствами-участниками Содружества Независимых Государств, Латвийской Республикой, Литовской Республикой, Эстонской Республикой», утвержденная на 25-м заседании Совета по железнодорожному транспорту 29.11.1999.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Порядок приема и сдачи дежурства приемосдатчиком груза и багажа в поездах.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Порядок подачи и уборки багажных вагонов (порядок подачи заявки на подачу-уборку вагонов, организация погрузки-выгрузки и др.).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Порядок приема багажного вагона и его оборудования.</w:t>
      </w:r>
    </w:p>
    <w:p w:rsidR="007C3B28" w:rsidRDefault="007C3B28" w:rsidP="007C3B28">
      <w:pPr>
        <w:pStyle w:val="1"/>
        <w:shd w:val="clear" w:color="auto" w:fill="auto"/>
        <w:spacing w:line="262" w:lineRule="auto"/>
        <w:ind w:firstLine="760"/>
        <w:jc w:val="both"/>
      </w:pPr>
      <w:r>
        <w:t>Получение маршрута и необходимого инвентаря на станции приписки багажного вагона.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20"/>
        <w:jc w:val="both"/>
      </w:pPr>
      <w:r>
        <w:t>Правила технического и коммерческого осмотра поездов и вагонов.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20"/>
        <w:jc w:val="both"/>
      </w:pPr>
      <w:r>
        <w:t>Правила пломбирования вагонов.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Порядок приема багажа и грузобагажа в багажный вагон перед отправлением в рейс.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Проверка соответствия маркировок багажных мест номерам дорожных ведомостей перевозочных документов и записям в сдаточных списках.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Рациональные схемы размещения багажа и грузобагажа в багажном вагоне.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Проверка правильности заполнения перевозочных документов на багаж и грузобагаж и соответствия записей фактическому наличию принятых мест.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Правила приема платформенного багажа.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Учет принятого и выданного в пути следования багажа и грузобагажа.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Порядок оформления перевозки багажа и грузобагажа при внутриузловых передачах на автотранспорте.</w:t>
      </w:r>
    </w:p>
    <w:p w:rsidR="007C3B28" w:rsidRDefault="007C3B28" w:rsidP="007C3B28">
      <w:pPr>
        <w:pStyle w:val="1"/>
        <w:shd w:val="clear" w:color="auto" w:fill="auto"/>
        <w:spacing w:after="100" w:line="269" w:lineRule="auto"/>
        <w:ind w:firstLine="760"/>
        <w:jc w:val="both"/>
      </w:pPr>
      <w:r>
        <w:t>Основные права и обязанности механика-бригадира почтово-багажного поезда. Отчет о выполненном рейсе.</w:t>
      </w:r>
    </w:p>
    <w:p w:rsidR="007C3B28" w:rsidRDefault="007C3B28" w:rsidP="007C3B28">
      <w:pPr>
        <w:pStyle w:val="1"/>
        <w:shd w:val="clear" w:color="auto" w:fill="auto"/>
        <w:spacing w:after="100" w:line="269" w:lineRule="auto"/>
        <w:ind w:firstLine="0"/>
        <w:jc w:val="center"/>
      </w:pPr>
      <w:r>
        <w:rPr>
          <w:b/>
          <w:bCs/>
        </w:rPr>
        <w:t>Тема 9.2 Ответственность приемосдатчика груза и багажа в поездах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 xml:space="preserve">Своевременное информирование станций (телеграммой, факсограммой, электронно или по телефону) о предстоящей выгрузке </w:t>
      </w:r>
      <w:r>
        <w:lastRenderedPageBreak/>
        <w:t>тяжеловесных и крупногабаритных грузов.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60"/>
        <w:jc w:val="both"/>
      </w:pPr>
      <w:r>
        <w:t>Ответственность приемосдатчика груза и багажа в поездах за выполнение установленных правил перевозки багажа и грузобагажа.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80"/>
        <w:jc w:val="both"/>
      </w:pPr>
      <w:r>
        <w:t>Ответственность приемосдатчика груза и багажа в поездах за сохранность багажа и грузобагажа при его приеме в багажный вагон, сопровождении в пути следования и выгрузке из багажного вагона.</w:t>
      </w:r>
    </w:p>
    <w:p w:rsidR="007C3B28" w:rsidRDefault="007C3B28" w:rsidP="007C3B28">
      <w:pPr>
        <w:pStyle w:val="1"/>
        <w:shd w:val="clear" w:color="auto" w:fill="auto"/>
        <w:spacing w:after="140" w:line="264" w:lineRule="auto"/>
        <w:ind w:firstLine="780"/>
        <w:jc w:val="both"/>
      </w:pPr>
      <w:r>
        <w:t>Ответственность приемосдатчика груза и багажа в поездах за правильность ведения документации.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340"/>
        <w:jc w:val="both"/>
      </w:pPr>
      <w:r>
        <w:rPr>
          <w:b/>
          <w:bCs/>
        </w:rPr>
        <w:t>Тема 9.3 Порядок действий приемосдатчика груза и багажа в поездах</w:t>
      </w:r>
    </w:p>
    <w:p w:rsidR="007C3B28" w:rsidRDefault="007C3B28" w:rsidP="007C3B28">
      <w:pPr>
        <w:pStyle w:val="1"/>
        <w:shd w:val="clear" w:color="auto" w:fill="auto"/>
        <w:spacing w:after="140" w:line="264" w:lineRule="auto"/>
        <w:ind w:firstLine="0"/>
        <w:jc w:val="center"/>
      </w:pPr>
      <w:r>
        <w:rPr>
          <w:b/>
          <w:bCs/>
        </w:rPr>
        <w:t>в нештатных ситуациях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80"/>
        <w:jc w:val="both"/>
      </w:pPr>
      <w:r>
        <w:t>Порядок действий приемосдатчика груза и багажа в поездах на станции при обнаружении им багажа и грузобагажа без документов или документов без багажа и грузобагажа.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80"/>
        <w:jc w:val="both"/>
      </w:pPr>
      <w:r>
        <w:t>Порядок действий приемосдатчика груза и багажа в поездах на станции при обнаружении несохранной перевозки багажа или грузобагажа.</w:t>
      </w:r>
    </w:p>
    <w:p w:rsidR="007C3B28" w:rsidRDefault="007C3B28" w:rsidP="007C3B28">
      <w:pPr>
        <w:pStyle w:val="1"/>
        <w:shd w:val="clear" w:color="auto" w:fill="auto"/>
        <w:spacing w:after="140" w:line="264" w:lineRule="auto"/>
        <w:ind w:firstLine="780"/>
        <w:jc w:val="both"/>
      </w:pPr>
      <w:r>
        <w:t>Соблюдение требований охраны труда работниками, занятыми погрузкой и выгрузкой багажа, грузобагажа.</w:t>
      </w:r>
    </w:p>
    <w:p w:rsidR="007C3B28" w:rsidRDefault="007C3B28" w:rsidP="007C3B28">
      <w:pPr>
        <w:pStyle w:val="a5"/>
        <w:shd w:val="clear" w:color="auto" w:fill="auto"/>
        <w:spacing w:line="360" w:lineRule="auto"/>
      </w:pPr>
      <w:r>
        <w:t>10. Устройство и эксплуатация багажных вагонов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659"/>
        <w:gridCol w:w="1546"/>
        <w:gridCol w:w="1430"/>
      </w:tblGrid>
      <w:tr w:rsidR="007C3B28" w:rsidTr="00E90482">
        <w:trPr>
          <w:trHeight w:hRule="exact" w:val="39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trHeight w:hRule="exact" w:val="37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Общие сведения о багажных вагонах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trHeight w:hRule="exact" w:val="7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tabs>
                <w:tab w:val="left" w:pos="1670"/>
                <w:tab w:val="left" w:pos="3571"/>
              </w:tabs>
              <w:spacing w:after="40" w:line="240" w:lineRule="auto"/>
              <w:ind w:firstLine="0"/>
            </w:pPr>
            <w:r>
              <w:t>Системы</w:t>
            </w:r>
            <w:r>
              <w:tab/>
              <w:t>отопления,</w:t>
            </w:r>
            <w:r>
              <w:tab/>
              <w:t>водоснабжения,</w:t>
            </w:r>
          </w:p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электрооборудования багажных вагонов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7C3B28" w:rsidTr="00E90482">
        <w:trPr>
          <w:trHeight w:hRule="exact"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B28" w:rsidRDefault="007C3B28" w:rsidP="00E9048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</w:tbl>
    <w:p w:rsidR="007C3B28" w:rsidRDefault="007C3B28" w:rsidP="007C3B28">
      <w:pPr>
        <w:spacing w:after="139" w:line="1" w:lineRule="exact"/>
      </w:pPr>
    </w:p>
    <w:p w:rsidR="007C3B28" w:rsidRDefault="007C3B28" w:rsidP="007C3B28">
      <w:pPr>
        <w:pStyle w:val="1"/>
        <w:shd w:val="clear" w:color="auto" w:fill="auto"/>
        <w:spacing w:after="140" w:line="240" w:lineRule="auto"/>
        <w:ind w:firstLine="0"/>
        <w:jc w:val="center"/>
      </w:pPr>
      <w:r>
        <w:rPr>
          <w:b/>
          <w:bCs/>
        </w:rPr>
        <w:t>Программа</w:t>
      </w:r>
    </w:p>
    <w:p w:rsidR="007C3B28" w:rsidRDefault="007C3B28" w:rsidP="007C3B28">
      <w:pPr>
        <w:pStyle w:val="1"/>
        <w:shd w:val="clear" w:color="auto" w:fill="auto"/>
        <w:spacing w:after="140" w:line="240" w:lineRule="auto"/>
        <w:ind w:firstLine="0"/>
        <w:jc w:val="center"/>
      </w:pPr>
      <w:r>
        <w:rPr>
          <w:b/>
          <w:bCs/>
        </w:rPr>
        <w:t>Тема 10.1 Общие сведения о багажных вагонах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80"/>
        <w:jc w:val="both"/>
      </w:pPr>
      <w:r>
        <w:t>Багажные вагоны; их типы, технические характеристики. Знаки и надписи, наносимые снаружи и внутри багажных вагонов, курсирующих во внутреннем сообщении. Правила эксплуатации багажных вагонов.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80"/>
        <w:jc w:val="both"/>
      </w:pPr>
      <w:r>
        <w:t>Назначение, устройство и возможные неисправности ходовых частей багажных вагонов: тележек, рессорного подвешивания, колесных пар, буксовых узлов. Системы контроля нагрева букс.</w:t>
      </w:r>
    </w:p>
    <w:p w:rsidR="007C3B28" w:rsidRDefault="007C3B28" w:rsidP="007C3B28">
      <w:pPr>
        <w:pStyle w:val="1"/>
        <w:shd w:val="clear" w:color="auto" w:fill="auto"/>
        <w:spacing w:line="269" w:lineRule="auto"/>
        <w:ind w:firstLine="780"/>
        <w:jc w:val="both"/>
      </w:pPr>
      <w:r>
        <w:t>Устройство рам и кузовов багажных вагонов. Автосцепное устройство; его назначение и устройство. Сцепление автосцепок. Способы выявления неисправностей автосцепки. Меры безопасности при этом.</w:t>
      </w:r>
    </w:p>
    <w:p w:rsidR="007C3B28" w:rsidRDefault="007C3B28" w:rsidP="007C3B28">
      <w:pPr>
        <w:pStyle w:val="1"/>
        <w:shd w:val="clear" w:color="auto" w:fill="auto"/>
        <w:spacing w:after="140" w:line="269" w:lineRule="auto"/>
        <w:ind w:firstLine="780"/>
        <w:jc w:val="both"/>
      </w:pPr>
      <w:r>
        <w:t xml:space="preserve">Тормозное оборудование; его назначение и расположение. Устройство </w:t>
      </w:r>
      <w:r>
        <w:lastRenderedPageBreak/>
        <w:t>тормозного оборудования. Принцип действия пневматических, электропневматических и дисковых тормозов. Порядок проведения проверки стояночного тормоза. Меры безопасности при этом.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Типы, устройство и назначение внутреннего оборудования багажных вагонов. Санитарно-гигиенические требования, предъявляемые к конструкции и планировке багажных вагонов.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Назначение помещений багажных вагонов: служебного, коридоров, переходных площадок, тамбуров.</w:t>
      </w:r>
    </w:p>
    <w:p w:rsidR="007C3B28" w:rsidRDefault="007C3B28" w:rsidP="007C3B28">
      <w:pPr>
        <w:pStyle w:val="1"/>
        <w:shd w:val="clear" w:color="auto" w:fill="auto"/>
        <w:spacing w:line="264" w:lineRule="auto"/>
        <w:ind w:firstLine="760"/>
        <w:jc w:val="both"/>
      </w:pPr>
      <w:r>
        <w:t>Комплектация помещений специальной мебелью и вспомогательным съемным оборудованием.</w:t>
      </w:r>
    </w:p>
    <w:p w:rsidR="007C3B28" w:rsidRDefault="007C3B28" w:rsidP="007C3B28">
      <w:pPr>
        <w:pStyle w:val="1"/>
        <w:shd w:val="clear" w:color="auto" w:fill="auto"/>
        <w:spacing w:after="100" w:line="264" w:lineRule="auto"/>
        <w:ind w:firstLine="760"/>
        <w:jc w:val="both"/>
      </w:pPr>
      <w:r>
        <w:t>Техническое обслуживание внутреннего оборудования багажных вагонов и обеспечение его сохранности. Меры безопасности при этом.</w:t>
      </w:r>
    </w:p>
    <w:p w:rsidR="007C3B28" w:rsidRDefault="007C3B28" w:rsidP="007C3B28">
      <w:pPr>
        <w:pStyle w:val="11"/>
        <w:keepNext/>
        <w:keepLines/>
        <w:shd w:val="clear" w:color="auto" w:fill="auto"/>
        <w:spacing w:after="100" w:line="271" w:lineRule="auto"/>
      </w:pPr>
      <w:bookmarkStart w:id="18" w:name="bookmark22"/>
      <w:bookmarkStart w:id="19" w:name="bookmark23"/>
      <w:r>
        <w:t>Тема 10.2 Системы отопления, водоснабжения, электрооборудования</w:t>
      </w:r>
      <w:r>
        <w:br/>
        <w:t>багажных вагонов</w:t>
      </w:r>
      <w:bookmarkEnd w:id="18"/>
      <w:bookmarkEnd w:id="19"/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Назначение и общая характеристика систем отопления багажных вагонов.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Требования, предъявляемые к отоплению багажных вагонов. Техническое обслуживание отопительной установки багажных вагонов. Режимы отопления багажных вагонов.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Система холодного и горячего водоснабжения багажных вагонов; ее назначение и устройство.</w:t>
      </w:r>
    </w:p>
    <w:p w:rsidR="007C3B28" w:rsidRDefault="007C3B28" w:rsidP="007C3B28">
      <w:pPr>
        <w:pStyle w:val="1"/>
        <w:shd w:val="clear" w:color="auto" w:fill="auto"/>
        <w:ind w:firstLine="760"/>
        <w:jc w:val="both"/>
      </w:pPr>
      <w:r>
        <w:t>Система электрооборудования багажных вагонов; ее назначение и устройство. Генераторы и электродвигатели. Аккумуляторные батареи. Приборы регулирования, коммутации и контроля. Приборы защиты. Системы сигнализации. Распределительные щиты и пульты управления. Эксплуатация низковольтного и высоковольтного электрооборудования.</w:t>
      </w:r>
    </w:p>
    <w:p w:rsidR="007C3B28" w:rsidRDefault="007C3B28" w:rsidP="007C3B28">
      <w:pPr>
        <w:pStyle w:val="1"/>
        <w:shd w:val="clear" w:color="auto" w:fill="auto"/>
        <w:spacing w:after="100"/>
        <w:ind w:firstLine="760"/>
        <w:jc w:val="both"/>
      </w:pPr>
      <w:r>
        <w:t>Порядок действий приемосдатчика груза и багажа в поездах при возникновении в пути следования неисправностей в системах отопления, электрооборудования и водоснабжения.</w:t>
      </w:r>
    </w:p>
    <w:p w:rsidR="007C3B28" w:rsidRDefault="007C3B28" w:rsidP="007C3B28">
      <w:pPr>
        <w:pStyle w:val="a5"/>
        <w:shd w:val="clear" w:color="auto" w:fill="auto"/>
        <w:spacing w:line="360" w:lineRule="auto"/>
      </w:pPr>
      <w:r>
        <w:t>11. ПТЭ, инструкции и безопасность движения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5645"/>
        <w:gridCol w:w="14"/>
        <w:gridCol w:w="1397"/>
        <w:gridCol w:w="19"/>
        <w:gridCol w:w="1541"/>
        <w:gridCol w:w="24"/>
      </w:tblGrid>
      <w:tr w:rsidR="007C3B28" w:rsidTr="00E90482">
        <w:trPr>
          <w:trHeight w:hRule="exact" w:val="39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trHeight w:hRule="exact" w:val="37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6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trHeight w:hRule="exact" w:val="10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11.1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ind w:firstLine="0"/>
            </w:pPr>
            <w:r>
              <w:t>Законодательные акты и нормативно</w:t>
            </w:r>
            <w:r>
              <w:softHyphen/>
              <w:t>правовые документы, регламентирующие деятельность железнодорожного транспорта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C3B28" w:rsidTr="00E90482">
        <w:trPr>
          <w:trHeight w:hRule="exact" w:val="7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11.2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tabs>
                <w:tab w:val="left" w:pos="1666"/>
                <w:tab w:val="left" w:pos="3816"/>
              </w:tabs>
              <w:spacing w:line="240" w:lineRule="auto"/>
              <w:ind w:firstLine="0"/>
            </w:pPr>
            <w:r>
              <w:t>Правила</w:t>
            </w:r>
            <w:r>
              <w:tab/>
              <w:t>технической</w:t>
            </w:r>
            <w:r>
              <w:tab/>
              <w:t>эксплуатации</w:t>
            </w:r>
          </w:p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железных дорог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gridAfter w:val="1"/>
          <w:wAfter w:w="24" w:type="dxa"/>
          <w:trHeight w:hRule="exact" w:val="41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Часы при обучении</w:t>
            </w:r>
          </w:p>
        </w:tc>
      </w:tr>
      <w:tr w:rsidR="007C3B28" w:rsidTr="00E90482">
        <w:trPr>
          <w:gridAfter w:val="1"/>
          <w:wAfter w:w="24" w:type="dxa"/>
          <w:trHeight w:hRule="exact" w:val="36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5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/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 недель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недель</w:t>
            </w:r>
          </w:p>
        </w:tc>
      </w:tr>
      <w:tr w:rsidR="007C3B28" w:rsidTr="00E90482">
        <w:trPr>
          <w:gridAfter w:val="1"/>
          <w:wAfter w:w="24" w:type="dxa"/>
          <w:trHeight w:hRule="exact" w:val="10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11.3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64" w:lineRule="auto"/>
              <w:ind w:firstLine="0"/>
              <w:jc w:val="both"/>
            </w:pPr>
            <w:r>
              <w:t>Инструкция по сигнализации на железнодорожном транспорте Российской Федерации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gridAfter w:val="1"/>
          <w:wAfter w:w="24" w:type="dxa"/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11.4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Безопасность движения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C3B28" w:rsidTr="00E90482">
        <w:trPr>
          <w:gridAfter w:val="1"/>
          <w:wAfter w:w="24" w:type="dxa"/>
          <w:trHeight w:hRule="exact"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B28" w:rsidRDefault="007C3B28" w:rsidP="00E9048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B28" w:rsidRDefault="007C3B28" w:rsidP="00E9048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14</w:t>
            </w:r>
          </w:p>
        </w:tc>
      </w:tr>
    </w:tbl>
    <w:p w:rsidR="007C3B28" w:rsidRDefault="007C3B28" w:rsidP="007C3B28">
      <w:pPr>
        <w:spacing w:after="119" w:line="1" w:lineRule="exact"/>
      </w:pPr>
    </w:p>
    <w:p w:rsidR="007C3B28" w:rsidRDefault="007C3B28" w:rsidP="007C3B28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Программа</w:t>
      </w:r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0"/>
        <w:jc w:val="center"/>
      </w:pPr>
      <w:r>
        <w:rPr>
          <w:b/>
          <w:bCs/>
        </w:rPr>
        <w:t>Тема 11.1 Законодательные акты и нормативно-правовые документы,</w:t>
      </w:r>
      <w:r>
        <w:rPr>
          <w:b/>
          <w:bCs/>
        </w:rPr>
        <w:br/>
        <w:t>регламентирующие деятельность железнодорожного транспорта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Федеральный закон Российской Федерации от 10.01.2003 №17-ФЗ «О железнодорожном транспорте в Российской Федерации».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Федеральный закон Российской Федерации от 10.01.2003 №18-ФЗ «Устав железнодорожного транспорта Российской Федерации».</w:t>
      </w:r>
    </w:p>
    <w:p w:rsidR="007C3B28" w:rsidRDefault="007C3B28" w:rsidP="007C3B28">
      <w:pPr>
        <w:pStyle w:val="1"/>
        <w:shd w:val="clear" w:color="auto" w:fill="auto"/>
        <w:ind w:firstLine="740"/>
        <w:jc w:val="both"/>
      </w:pPr>
      <w:r>
        <w:t>«Положение о Министерстве транспорта Российской Федерации», утвержденное постановлением Правительства Российской Федерации от 30.07.2004 №395.</w:t>
      </w:r>
    </w:p>
    <w:p w:rsidR="007C3B28" w:rsidRDefault="007C3B28" w:rsidP="007C3B28">
      <w:pPr>
        <w:pStyle w:val="1"/>
        <w:shd w:val="clear" w:color="auto" w:fill="auto"/>
        <w:spacing w:after="120"/>
        <w:ind w:firstLine="740"/>
        <w:jc w:val="both"/>
      </w:pPr>
      <w:r>
        <w:t>«Положение о Федеральном агентстве железнодорожного транспорта», утвержденное постановлением Правительства Российской Федерации от 30.07.2004 №397.</w:t>
      </w:r>
    </w:p>
    <w:p w:rsidR="007C3B28" w:rsidRDefault="007C3B28" w:rsidP="007C3B28">
      <w:pPr>
        <w:pStyle w:val="11"/>
        <w:keepNext/>
        <w:keepLines/>
        <w:shd w:val="clear" w:color="auto" w:fill="auto"/>
        <w:spacing w:line="264" w:lineRule="auto"/>
      </w:pPr>
      <w:bookmarkStart w:id="20" w:name="bookmark24"/>
      <w:bookmarkStart w:id="21" w:name="bookmark25"/>
      <w:r>
        <w:t>Тема 11.2 Правила технической эксплуатации железных дорог</w:t>
      </w:r>
      <w:r>
        <w:br/>
        <w:t>Российской Федерации</w:t>
      </w:r>
      <w:bookmarkEnd w:id="20"/>
      <w:bookmarkEnd w:id="21"/>
    </w:p>
    <w:p w:rsidR="007C3B28" w:rsidRDefault="007C3B28" w:rsidP="007C3B28">
      <w:pPr>
        <w:pStyle w:val="1"/>
        <w:shd w:val="clear" w:color="auto" w:fill="auto"/>
        <w:spacing w:after="120"/>
        <w:ind w:firstLine="740"/>
        <w:jc w:val="both"/>
      </w:pPr>
      <w:r>
        <w:t xml:space="preserve">Изучаются разделы </w:t>
      </w:r>
      <w:r>
        <w:rPr>
          <w:lang w:val="en-US" w:bidi="en-US"/>
        </w:rPr>
        <w:t>I</w:t>
      </w:r>
      <w:r w:rsidRPr="0018040A">
        <w:rPr>
          <w:lang w:bidi="en-US"/>
        </w:rPr>
        <w:t xml:space="preserve">, </w:t>
      </w:r>
      <w:r>
        <w:t>II, III, IV, V. Приложение №1: пункт 9; приложение №2: пункт 3; приложение №3: пункты 1, 2, 3; приложение №4: пункт 2; приложение №6: пункты 1-13, 62.</w:t>
      </w:r>
    </w:p>
    <w:p w:rsidR="007C3B28" w:rsidRDefault="007C3B28" w:rsidP="007C3B28">
      <w:pPr>
        <w:pStyle w:val="11"/>
        <w:keepNext/>
        <w:keepLines/>
        <w:shd w:val="clear" w:color="auto" w:fill="auto"/>
      </w:pPr>
      <w:bookmarkStart w:id="22" w:name="bookmark26"/>
      <w:bookmarkStart w:id="23" w:name="bookmark27"/>
      <w:r>
        <w:t>Тема 11.3 Инструкция по сигнализации на железнодорожном</w:t>
      </w:r>
      <w:r>
        <w:br/>
        <w:t>транспорте Российской Федерации</w:t>
      </w:r>
      <w:bookmarkEnd w:id="22"/>
      <w:bookmarkEnd w:id="23"/>
    </w:p>
    <w:p w:rsidR="007C3B28" w:rsidRDefault="007C3B28" w:rsidP="007C3B28">
      <w:pPr>
        <w:pStyle w:val="1"/>
        <w:shd w:val="clear" w:color="auto" w:fill="auto"/>
        <w:spacing w:after="120" w:line="264" w:lineRule="auto"/>
        <w:ind w:firstLine="740"/>
        <w:jc w:val="both"/>
      </w:pPr>
      <w:r>
        <w:t xml:space="preserve">Изучаются разделы </w:t>
      </w:r>
      <w:r>
        <w:rPr>
          <w:lang w:val="en-US" w:bidi="en-US"/>
        </w:rPr>
        <w:t>I</w:t>
      </w:r>
      <w:r w:rsidRPr="0018040A">
        <w:rPr>
          <w:lang w:bidi="en-US"/>
        </w:rPr>
        <w:t xml:space="preserve">, </w:t>
      </w:r>
      <w:r>
        <w:t>II; раздел III: пункты 6, 7, 8; раздел IV: пункты 34, 35, 37; раздел V: пункт 50; раздел VII: пункт 83; разделы IX, X.</w:t>
      </w:r>
    </w:p>
    <w:p w:rsidR="007C3B28" w:rsidRDefault="007C3B28" w:rsidP="007C3B28">
      <w:pPr>
        <w:pStyle w:val="11"/>
        <w:keepNext/>
        <w:keepLines/>
        <w:shd w:val="clear" w:color="auto" w:fill="auto"/>
        <w:spacing w:line="266" w:lineRule="auto"/>
      </w:pPr>
      <w:bookmarkStart w:id="24" w:name="bookmark28"/>
      <w:bookmarkStart w:id="25" w:name="bookmark29"/>
      <w:r>
        <w:t>Тема 11.4 Безопасность движения</w:t>
      </w:r>
      <w:bookmarkEnd w:id="24"/>
      <w:bookmarkEnd w:id="25"/>
    </w:p>
    <w:p w:rsidR="007C3B28" w:rsidRDefault="007C3B28" w:rsidP="007C3B28">
      <w:pPr>
        <w:pStyle w:val="1"/>
        <w:shd w:val="clear" w:color="auto" w:fill="auto"/>
        <w:spacing w:after="120" w:line="269" w:lineRule="auto"/>
        <w:ind w:firstLine="740"/>
        <w:jc w:val="both"/>
      </w:pPr>
      <w:r>
        <w:t>Анализ состояния безопасности движения в федеральной пассажирской компании. Причины возникновения аварийных и нестандартных ситуаций. Приказы и распоряжения ОАО «РЖД» о мероприятиях по предотвращению нарушений безопасности движения; их основное содержание и значение.</w:t>
      </w:r>
    </w:p>
    <w:p w:rsidR="00113A36" w:rsidRDefault="00113A36"/>
    <w:sectPr w:rsidR="00113A3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F2" w:rsidRDefault="007C3B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5pt;margin-top:39.55pt;width:10.1pt;height:8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0F2" w:rsidRDefault="007C3B2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3B28">
                  <w:rPr>
                    <w:b/>
                    <w:bCs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F2" w:rsidRDefault="007C3B2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F78"/>
    <w:multiLevelType w:val="multilevel"/>
    <w:tmpl w:val="F9BE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C3B28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3B28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B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3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7C3B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7C3B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C3B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7C3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C3B28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C3B2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7C3B28"/>
    <w:pPr>
      <w:shd w:val="clear" w:color="auto" w:fill="FFFFFF"/>
      <w:spacing w:after="12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7C3B28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7C3B28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2021-04-25T18:05:00Z</dcterms:created>
  <dcterms:modified xsi:type="dcterms:W3CDTF">2021-04-25T18:05:00Z</dcterms:modified>
</cp:coreProperties>
</file>