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28087D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7D">
        <w:rPr>
          <w:rFonts w:ascii="Times New Roman" w:hAnsi="Times New Roman" w:cs="Times New Roman"/>
          <w:sz w:val="24"/>
          <w:szCs w:val="24"/>
        </w:rPr>
        <w:t>ф</w:t>
      </w:r>
      <w:r w:rsidR="005B5D91" w:rsidRPr="0028087D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28087D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087D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2808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087D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28087D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28087D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8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28087D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8087D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28087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5B5D91" w:rsidRPr="0028087D" w:rsidRDefault="00C6775C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7D">
        <w:rPr>
          <w:rFonts w:ascii="Times New Roman" w:hAnsi="Times New Roman"/>
          <w:b/>
          <w:sz w:val="24"/>
          <w:szCs w:val="24"/>
        </w:rPr>
        <w:t>23.05.0</w:t>
      </w:r>
      <w:r w:rsidR="006B5C2B" w:rsidRPr="0028087D">
        <w:rPr>
          <w:rFonts w:ascii="Times New Roman" w:hAnsi="Times New Roman"/>
          <w:b/>
          <w:sz w:val="24"/>
          <w:szCs w:val="24"/>
        </w:rPr>
        <w:t xml:space="preserve">3Подвижной состав </w:t>
      </w:r>
      <w:proofErr w:type="gramStart"/>
      <w:r w:rsidR="006B5C2B" w:rsidRPr="0028087D">
        <w:rPr>
          <w:rFonts w:ascii="Times New Roman" w:hAnsi="Times New Roman"/>
          <w:b/>
          <w:sz w:val="24"/>
          <w:szCs w:val="24"/>
        </w:rPr>
        <w:t>железных</w:t>
      </w:r>
      <w:proofErr w:type="gramEnd"/>
      <w:r w:rsidR="006B5C2B" w:rsidRPr="002808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5C2B" w:rsidRPr="0028087D">
        <w:rPr>
          <w:rFonts w:ascii="Times New Roman" w:hAnsi="Times New Roman"/>
          <w:b/>
          <w:sz w:val="24"/>
          <w:szCs w:val="24"/>
        </w:rPr>
        <w:t>дорг</w:t>
      </w:r>
      <w:proofErr w:type="spellEnd"/>
    </w:p>
    <w:p w:rsidR="00890A3F" w:rsidRPr="0028087D" w:rsidRDefault="005B5D91" w:rsidP="006B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87D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="00C55C31">
        <w:rPr>
          <w:rFonts w:ascii="Times New Roman" w:hAnsi="Times New Roman"/>
          <w:b/>
          <w:sz w:val="24"/>
          <w:szCs w:val="24"/>
        </w:rPr>
        <w:t>Локомотивы</w:t>
      </w:r>
      <w:r w:rsidR="006B5C2B" w:rsidRPr="0028087D">
        <w:rPr>
          <w:rFonts w:ascii="Times New Roman" w:hAnsi="Times New Roman"/>
          <w:b/>
          <w:sz w:val="24"/>
          <w:szCs w:val="24"/>
        </w:rPr>
        <w:t xml:space="preserve">, </w:t>
      </w:r>
      <w:r w:rsidR="001573A6" w:rsidRPr="0028087D">
        <w:rPr>
          <w:rFonts w:ascii="Times New Roman" w:hAnsi="Times New Roman" w:cs="Times New Roman"/>
          <w:sz w:val="24"/>
          <w:szCs w:val="24"/>
        </w:rPr>
        <w:t>201</w:t>
      </w:r>
      <w:r w:rsidR="006B5C2B" w:rsidRPr="0028087D">
        <w:rPr>
          <w:rFonts w:ascii="Times New Roman" w:hAnsi="Times New Roman" w:cs="Times New Roman"/>
          <w:sz w:val="24"/>
          <w:szCs w:val="24"/>
        </w:rPr>
        <w:t>9</w:t>
      </w:r>
      <w:r w:rsidR="001573A6" w:rsidRPr="0028087D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16"/>
        <w:gridCol w:w="3263"/>
        <w:gridCol w:w="3969"/>
        <w:gridCol w:w="3827"/>
      </w:tblGrid>
      <w:tr w:rsidR="005B5D91" w:rsidRPr="0028087D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E76454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28087D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5B5D91" w:rsidRPr="0028087D" w:rsidRDefault="005B5D91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B5D91" w:rsidRPr="0028087D" w:rsidTr="00046819"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28087D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28087D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28087D" w:rsidRDefault="00046819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28087D" w:rsidRDefault="00E3753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28087D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28087D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377B4A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История (история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28087D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сеобщая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история)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тий лекционного типа - кабинет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- 19 шт., стулья ученические – 38 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28087D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28087D" w:rsidRDefault="00046819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28087D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28087D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28087D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46819" w:rsidRPr="0028087D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046819" w:rsidRPr="0028087D" w:rsidRDefault="00E3753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циплин – комплект </w:t>
            </w:r>
            <w:proofErr w:type="spell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презентаций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Набор</w:t>
            </w:r>
            <w:proofErr w:type="spellEnd"/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монстрационного оборудования (перено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ной): </w:t>
            </w:r>
            <w:r w:rsidR="00046819"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28087D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Набор демонстрационного оборудования (пер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носной):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вибрации (1 шт.), прибор «ТКА – Люкс» (1 шт.), пр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Русский язык и деловые коммун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ская посуда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619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- 23 шт.,  стулья ученические – 46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C55C31" w:rsidTr="0004681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преп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аудитория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ных колебаний пружинного маятника»; стенд «Снятие 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вольт-амперной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«Опред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ление закона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Комовск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термометр демонстрационный – 1 шт.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</w:t>
            </w:r>
            <w:r w:rsidR="005900AE"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</w:t>
            </w:r>
            <w:r w:rsidR="005900AE"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5900AE"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4C25D7" w:rsidRPr="0028087D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C55C31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31" w:rsidRPr="002C6FC2" w:rsidRDefault="00C55C31" w:rsidP="00C55C31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4C25D7" w:rsidRPr="0028087D" w:rsidRDefault="00C55C31" w:rsidP="00C55C31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</w:t>
            </w:r>
          </w:p>
        </w:tc>
      </w:tr>
      <w:tr w:rsidR="004C25D7" w:rsidRPr="00C55C31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Компьютерный класс № 2 -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шт.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5C31" w:rsidRPr="002C6FC2" w:rsidRDefault="00C55C31" w:rsidP="00C55C31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КОМПАС – 3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4C25D7" w:rsidRPr="0028087D" w:rsidRDefault="00C55C31" w:rsidP="00C55C31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цензия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2C6FC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</w:t>
            </w: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доступной среды на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транпорте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28087D" w:rsidRDefault="004C25D7" w:rsidP="004C25D7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C55C31" w:rsidRDefault="004C25D7" w:rsidP="00C55C31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Материаловедение и технология конструкционных материалов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10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- 14 шт.,  стулья ученические –32 шт., стол преподавателя – 1 шт., стул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Лабораторное 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оборудов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рессБрунелля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(1 шт.), 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прессРоквелла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(1 шт.),  набор фрез,  набор токарных ре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з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цов,  </w:t>
            </w: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:,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плакаты (5 шт.),  диаграммы (3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Общий курс железнодорожного транспорта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C55C31" w:rsidRDefault="004C25D7" w:rsidP="00C55C3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6B5C2B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C55C31" w:rsidRDefault="004C25D7" w:rsidP="00C55C31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семинарского </w:t>
            </w:r>
            <w:proofErr w:type="spell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C55C31">
            <w:pPr>
              <w:spacing w:after="0" w:line="240" w:lineRule="auto"/>
              <w:ind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Теплотехника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504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- 7 шт.,  стулья ученические –16 шт., стол преподавателя – 1 шт., стул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 лаборато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ная установка для определения степени  черноты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 (1 шт.), лабораторная установка определения  коэффициента теплоотдачи методом трубы (1 шт.), лабораторная у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тановка определения  коэффициента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лопроводимости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методом трубы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96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C55C31" w:rsidRDefault="004C25D7" w:rsidP="00C55C31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Н.Новгород. пл. Комсомольская. д.3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лабораторный стенд  «Исследование трехфазной цепи по схеме соединения - Звезда»  (1 шт.),  лаборато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«Исследование трехфазной ц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 схеме соединения - Треугольник»  (1 шт.),  лабораторный стенд «Исследование сложной цепи постоянного тока»  (1 шт.),  лабораторный стенд  «Исследование эле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приборов» (1 шт.),  лаборато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 «Исследование резонанса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пряжений»  (1 шт.),  лабораторный стенд  «Исследование резонанса токов»  (1 шт.),  лабораторный стенд  «Исследование эле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шт.),  вольтметр ВК 7-9  (1 шт.),  комплект измерительных приборов  (1 шт.).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комплект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катов – 10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412,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900AE" w:rsidRPr="0028087D" w:rsidRDefault="005900AE" w:rsidP="005900A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- 23 шт.,  стулья ученические –23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28087D" w:rsidRDefault="005900AE" w:rsidP="005900A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43571763 от 06.03.2008)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28087D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28087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28087D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28087D" w:rsidTr="002D5CFF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Компьютерный класс №3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412,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900AE" w:rsidRPr="0028087D" w:rsidRDefault="005900AE" w:rsidP="005900A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28087D" w:rsidRDefault="005900AE" w:rsidP="005900A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28087D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28087D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28087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28087D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  <w:p w:rsidR="005900AE" w:rsidRPr="0028087D" w:rsidRDefault="005900AE" w:rsidP="005900AE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2D5CF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2D5CFF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ноступенчатый конический (1 шт.),  реду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косозубый (1 шт.),  редуктор цилин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рический (1 шт.),  редуктор червячный с верхним расположением червяка i=40 (1 шт.),  редуктор червячный (1 шт.),  реду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червячный в разрезе (1 шт.),   привод с червячным редуктором и передачейi=40 и открытой муфтой (1 шт.),   редуктор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мозубый (1 шт.),  редуктор двухступенч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тый цилиндрический (3 шт.),  планетарный редуктор (1 шт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оборудование ДМ-30М (1 шт.),  лабораторное оборудование ДМ-36М (1 шт.),   прибор ТММ – 33М (1 шт.),  прибор ДП-6А (1 шт.),  приспосо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ДМ-22М (1 шт.),  лабораторная у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тановка «ТММ 118Л» (3 шт.), набор вал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 лабораторный набор моделей «ТММ»,  прибор ТММ 14/1, прибор ТММ 46/1, прибор ТММ46/2, прибор ТММ 46/3, прибор ТММ – 35М, прибор ТММ-42, муфта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дохранительная  фрикционная (1 шт.),  муфта упругая втулочно-пальцевая (1 шт.), набор редукторов в оргстекле (1 шт.),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– 42 (2 шт.),  набор шатунов, 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подшипников, набор зубчатых колес, установка ТММ – 39КА,  установка ДП-11А.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персоналом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  <w:t>Специализированная мебель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9C014B" w:rsidRDefault="004C25D7" w:rsidP="004C2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4B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Метрология стандартизация и се</w:t>
            </w:r>
            <w:r w:rsidRPr="009C014B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9C014B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тификация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604,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- 11 шт.,  стулья ученические –23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преп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Детали машин и основы констру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рования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одноступенчатый конический (1 шт.),  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дуктор косозубый (1 шт.),  редуктор ц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линдрический (1 шт.),  редуктор червя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с верхним расположением червяка i=40 (1 шт.),  редуктор червячный (1 шт.),  редуктор червячный в разрезе (1 шт.),   привод с червячным редуктором и передачейi=40 и открытой муфтой (1 шт.),   редуктор прямозубый (1 шт.),  редуктор двухступенчатый цилиндрический (3 шт.),  планетарный редуктор (1 шт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вание ДМ-30М (1 шт.),  лабораторное оборудование ДМ-36М (1 шт.),   прибор ТММ – 33М (1 шт.),  прибор ДП-6А (1 шт.),  приспособление ДМ-22М (1 шт.),  лабораторная установка «ТММ 118Л» (3 шт.), набор валиков,  лабораторный набор моделей «ТММ»,  прибор ТММ 14/1,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бор ТММ 46/1, прибор ТММ46/2, прибор ТММ 46/3, прибор ТММ – 35М, прибор ТММ-42, муфта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предохранительная  фрикционная (1 шт.),  муфта упругая втулочно-пальцевая (1 шт.), набор редукторов в оргстекле (1 шт.), прибор ТММ – 42 (2 шт.),  набор шатунов, набор подшипн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набор зубчатых колес, установка ТММ – 39КА,  установка ДП-11А.</w:t>
            </w:r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28087D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28087D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C55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DF1632" w:rsidRPr="00C55C31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55C31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C55C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C55C31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C5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28087D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28087D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DF1632" w:rsidRPr="00C55C31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55C31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C55C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C55C31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C5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машины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го возбуждения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лочных переводов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Инженерная экология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Экономика и управление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ности движения и автоматические тормоза</w:t>
            </w:r>
          </w:p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став»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         № 12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28087D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е: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ученические - 6 шт.,  стулья ученические –21 шт., стол преподавателя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стенд «</w:t>
            </w:r>
            <w:proofErr w:type="spellStart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Автосцепное</w:t>
            </w:r>
            <w:proofErr w:type="spellEnd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устройство»  (модель 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СА-3),  стенд «Модель тормозного обор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дования грузового вагона»,   стенд «М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дель по испытанию запасного резерву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ра», стенд «Модель по испытанию то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мозного цилиндра», стенд «Компрессо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сцепное</w:t>
            </w:r>
            <w:proofErr w:type="spellEnd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 СА-З в разрезе, ко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пус буксы  грузового вагона, набор по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шипников, холодильная установка купе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ного вагона, образец  компрессора и  о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28087D">
              <w:rPr>
                <w:rFonts w:ascii="Times New Roman" w:hAnsi="Times New Roman" w:cs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</w:t>
            </w:r>
          </w:p>
          <w:p w:rsidR="004C25D7" w:rsidRPr="0028087D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комплект</w:t>
            </w:r>
            <w:proofErr w:type="spellEnd"/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плакатов</w:t>
            </w:r>
            <w:r w:rsidRPr="0028087D">
              <w:rPr>
                <w:rFonts w:ascii="Times New Roman" w:hAnsi="Times New Roman" w:cs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28087D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Цифровые технологии в профе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28087D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632" w:rsidRPr="0028087D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5C31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Аудитория для проведения з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нятий семинарского типа 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DF1632" w:rsidRPr="00C55C31" w:rsidRDefault="00DF1632" w:rsidP="00DF1632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55C31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C55C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C55C31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Технические средства обучения: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C5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C55C31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упрваление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водством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Подвижной состав железных дорог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0B7042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28087D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28087D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4C25D7" w:rsidRPr="0028087D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4C25D7" w:rsidRPr="0028087D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– комплект 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28087D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12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28087D" w:rsidRDefault="004C25D7" w:rsidP="004C25D7">
            <w:pPr>
              <w:spacing w:after="0"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–21 шт., стол преподавателя – 1 шт., стул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28087D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sz w:val="20"/>
                <w:szCs w:val="20"/>
              </w:rPr>
              <w:t>стенд «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Автосцепное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дования грузового вагона»,   стенд «М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дель по испытанию запасного резерву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ра», стенд «Модель по испытанию то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мозного цилиндра», стенд «Компрессо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сцепное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устройство  СА-З в разрезе, ко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пус буксы  грузового вагона, набор по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д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шипников, холодильная установка купе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й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ного вагона, образец  компрессора и  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х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вагона.</w:t>
            </w:r>
          </w:p>
          <w:p w:rsidR="004C25D7" w:rsidRPr="0028087D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28087D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5900AE">
        <w:trPr>
          <w:trHeight w:val="313"/>
        </w:trPr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Научно-техническая деятельность в инженерной практике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rPr>
          <w:trHeight w:val="1372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5900AE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схемы и электрич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ское  оборудование локомотивов</w:t>
            </w:r>
          </w:p>
          <w:p w:rsidR="00375E4F" w:rsidRPr="0028087D" w:rsidRDefault="00375E4F" w:rsidP="00375E4F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5900AE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5900AE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- 6 шт.,  стулья ученические –16 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стенд «Сн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5900A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систем автоматического управления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5900A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widowControl w:val="0"/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нятий семинарского типа -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375E4F" w:rsidRPr="0028087D" w:rsidRDefault="00375E4F" w:rsidP="00375E4F">
            <w:pPr>
              <w:pStyle w:val="Style23"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презентаций, комплект плакатов по ко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434D85">
        <w:trPr>
          <w:trHeight w:val="6075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a6"/>
              <w:widowControl w:val="0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Системы упра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ления подвижным составом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314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375E4F" w:rsidRPr="0028087D" w:rsidRDefault="00375E4F" w:rsidP="00375E4F">
            <w:pPr>
              <w:widowControl w:val="0"/>
              <w:spacing w:after="0" w:line="240" w:lineRule="auto"/>
              <w:ind w:left="142" w:right="136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375E4F" w:rsidRPr="0028087D" w:rsidRDefault="00375E4F" w:rsidP="00375E4F">
            <w:pPr>
              <w:pStyle w:val="Style23"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Специализированая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мебель: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учен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ческие - 8 шт.,  стулья ученические –20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375E4F" w:rsidRPr="0028087D" w:rsidRDefault="00375E4F" w:rsidP="00375E4F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Лабоарторноеоборудование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распредел</w:t>
            </w:r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тельный щит с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пуско-коммутирующей</w:t>
            </w:r>
            <w:proofErr w:type="spellEnd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аппаратурой (1 шт.), 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компрессорная уст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новка для подачи сжатого воздуха к лаб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раторным стендам (1 шт.), лабораторный стенд  «Исследование блока дифференц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альных реле БРД 356 электровоза ВЛ80</w:t>
            </w:r>
            <w:r w:rsidRPr="0028087D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» (1 шт.), лабораторный стенд «Исследов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ние электропневматического и электр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магнитного контакторов» (1 шт.), лабор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торный стенд «Исследование схемы ве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тильного перехода» (1 шт.), лабораторный стенд «Исследование группового ко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н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троллера электропоезда переменного т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ка» (1 шт.), лабораторный стенд</w:t>
            </w:r>
            <w:proofErr w:type="gram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«Иссл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дование системы автоматического упра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в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ления электропоездом» (1 шт.), лабор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торный стенд «Исследование характер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стик электроподвижного состава пост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янного тока» (1 шт.), лабораторный стенд «Исследование системы управления ре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статным контроллером вагона метропол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тена» (1 шт.), лабораторный стенд «И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следование импульсного регулирования на электроподвижном составе постоянн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го тока» (1 шт.).</w:t>
            </w:r>
          </w:p>
          <w:p w:rsidR="00375E4F" w:rsidRPr="0028087D" w:rsidRDefault="00375E4F" w:rsidP="00375E4F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Набор наглядных пособий</w:t>
            </w:r>
          </w:p>
          <w:p w:rsidR="00375E4F" w:rsidRPr="0028087D" w:rsidRDefault="00375E4F" w:rsidP="00375E4F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Системы менеджмента качества в локомотивном хозяйстве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2808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75E4F" w:rsidRPr="0028087D" w:rsidRDefault="00375E4F" w:rsidP="00434D85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Гидравлические передачи локом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тивов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Локомотивные энергетические 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тановки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и конструкция локомотивов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375E4F" w:rsidRPr="0028087D" w:rsidRDefault="00375E4F" w:rsidP="00375E4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5E4F" w:rsidRPr="0028087D" w:rsidTr="00375E4F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375E4F" w:rsidRPr="0028087D" w:rsidRDefault="00375E4F" w:rsidP="00375E4F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375E4F" w:rsidRPr="0028087D" w:rsidRDefault="00375E4F" w:rsidP="00375E4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E4F" w:rsidRPr="0028087D" w:rsidRDefault="00375E4F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375E4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тяги поездов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375E4F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375E4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передачи локомот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Производство и ремонт  локомот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375E4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7535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Менеджмент и экономика предпр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ятий  </w:t>
            </w:r>
            <w:r w:rsidR="00575350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елезнодорожного транспо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tabs>
                <w:tab w:val="left" w:pos="995"/>
              </w:tabs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нятий Аудитория для провед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F4263" w:rsidRPr="0028087D" w:rsidRDefault="001F4263" w:rsidP="009C014B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9C014B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280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280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F4263" w:rsidRPr="0028087D" w:rsidRDefault="001F4263" w:rsidP="009C014B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375E4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 диагностика локом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тивов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стенд «Сн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Эксплуатация и техническое 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служивание локомотивов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ремонта локомотивов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AA75E2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Информационные технологии в локомотивном хозяйстве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9C014B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C55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1F4263" w:rsidRPr="00C55C31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9C014B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55C31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C55C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1F4263" w:rsidRPr="00C55C31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9C014B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1F4263" w:rsidRPr="00C55C31" w:rsidRDefault="001F4263" w:rsidP="009C014B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C5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1F4263" w:rsidRPr="00C55C31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Надежность локомотивов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F426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1F426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1F4263">
            <w:pPr>
              <w:pStyle w:val="Style23"/>
              <w:widowControl/>
              <w:spacing w:line="240" w:lineRule="auto"/>
              <w:ind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Локомотивное хозяйство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1F4263" w:rsidRPr="0028087D" w:rsidRDefault="001F4263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1F4263" w:rsidRPr="0028087D" w:rsidRDefault="001F4263" w:rsidP="009C014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9C014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1F4263" w:rsidRPr="0028087D" w:rsidRDefault="001F4263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можения»,  преобразовательная установка – 2 шт., стенд демонстрационный.</w:t>
            </w:r>
          </w:p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1F4263" w:rsidRPr="0028087D" w:rsidRDefault="001F4263" w:rsidP="009C014B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D74C3E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  и спорту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Религии мира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F62B9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F62B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F62B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D74C3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Охрана труда на </w:t>
            </w:r>
            <w:proofErr w:type="gram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железнодорожном</w:t>
            </w:r>
            <w:proofErr w:type="gramEnd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транспотре</w:t>
            </w:r>
            <w:proofErr w:type="spellEnd"/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D74C3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34A68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Безопасность в чрезвычайных с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туациях</w:t>
            </w:r>
          </w:p>
          <w:p w:rsidR="001F4263" w:rsidRPr="0028087D" w:rsidRDefault="001F4263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134A68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087D" w:rsidRPr="0028087D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  <w:p w:rsidR="0028087D" w:rsidRPr="0028087D" w:rsidRDefault="0028087D" w:rsidP="00053B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Топливо, вода, смазка</w:t>
            </w:r>
          </w:p>
          <w:p w:rsidR="0028087D" w:rsidRPr="0028087D" w:rsidRDefault="0028087D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087D" w:rsidRPr="0028087D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87D" w:rsidRPr="0028087D" w:rsidRDefault="0028087D" w:rsidP="00053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087D" w:rsidRPr="0028087D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 xml:space="preserve">Динамика и смазка </w:t>
            </w:r>
            <w:proofErr w:type="spellStart"/>
            <w:r w:rsidRPr="0028087D">
              <w:rPr>
                <w:rFonts w:ascii="Times New Roman" w:hAnsi="Times New Roman"/>
                <w:sz w:val="20"/>
                <w:szCs w:val="20"/>
              </w:rPr>
              <w:t>сложнонагр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у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женных</w:t>
            </w:r>
            <w:proofErr w:type="spellEnd"/>
            <w:r w:rsidRPr="0028087D">
              <w:rPr>
                <w:rFonts w:ascii="Times New Roman" w:hAnsi="Times New Roman"/>
                <w:sz w:val="20"/>
                <w:szCs w:val="20"/>
              </w:rPr>
              <w:t xml:space="preserve"> узлов локомотивов</w:t>
            </w:r>
          </w:p>
          <w:p w:rsidR="0028087D" w:rsidRPr="0028087D" w:rsidRDefault="0028087D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28087D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087D" w:rsidRPr="0028087D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87D" w:rsidRPr="0028087D" w:rsidRDefault="0028087D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дитория № 401,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9C014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087D" w:rsidRPr="0028087D" w:rsidRDefault="0028087D" w:rsidP="009C014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87D" w:rsidRPr="0028087D" w:rsidRDefault="0028087D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Деловое общение и деловой этикет</w:t>
            </w:r>
          </w:p>
          <w:p w:rsidR="001F4263" w:rsidRPr="0028087D" w:rsidRDefault="001F4263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Основы производства электрич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транспорта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24722E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5C6DA0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7122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sz w:val="20"/>
                <w:szCs w:val="20"/>
              </w:rPr>
              <w:t>А</w:t>
            </w:r>
            <w:r w:rsidR="00712254">
              <w:rPr>
                <w:rFonts w:ascii="Times New Roman" w:hAnsi="Times New Roman"/>
                <w:sz w:val="20"/>
                <w:szCs w:val="20"/>
              </w:rPr>
              <w:t>РМ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 xml:space="preserve"> при эксплуатации электр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/>
                <w:sz w:val="20"/>
                <w:szCs w:val="20"/>
              </w:rPr>
              <w:t>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емонстрационное оборудование: Стенд «Автосцепка вагона СА-3»; Стенд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«Привод подвижного генератора пасс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5C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5C6DA0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C55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C55C31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1F4263" w:rsidRPr="00C55C31" w:rsidRDefault="001F4263" w:rsidP="005C6DA0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5C6DA0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55C31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C55C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1F4263" w:rsidRPr="00C55C31" w:rsidRDefault="001F4263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5C31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55C31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1F4263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1F4263" w:rsidRPr="00C55C31" w:rsidRDefault="001F4263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C55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C55C31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1F4263" w:rsidRPr="00C55C31" w:rsidRDefault="001F4263" w:rsidP="005C6DA0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</w:p>
          <w:p w:rsidR="001F4263" w:rsidRPr="0028087D" w:rsidRDefault="001F426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(компьютерный класс)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24722E">
        <w:trPr>
          <w:trHeight w:val="253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2808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C55C31" w:rsidRDefault="00C55C31" w:rsidP="00C55C31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087D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rPr>
          <w:trHeight w:val="112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proofErr w:type="gramStart"/>
            <w:r w:rsidRPr="0028087D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4263" w:rsidRPr="0028087D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087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263" w:rsidRPr="0028087D" w:rsidRDefault="001F4263" w:rsidP="00053B6A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_GoBack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обслужив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</w:t>
            </w:r>
            <w:proofErr w:type="spellStart"/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учебногооборудования</w:t>
            </w:r>
            <w:bookmarkEnd w:id="0"/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28087D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1F4263" w:rsidRPr="0028087D" w:rsidRDefault="001F4263" w:rsidP="00053B6A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28087D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263" w:rsidRPr="0028087D" w:rsidRDefault="001F426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Pr="0028087D" w:rsidRDefault="00B35FAE"/>
    <w:sectPr w:rsidR="00B35FAE" w:rsidRPr="0028087D" w:rsidSect="00B35FAE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4B" w:rsidRDefault="009C014B" w:rsidP="00890A3F">
      <w:pPr>
        <w:spacing w:after="0" w:line="240" w:lineRule="auto"/>
      </w:pPr>
      <w:r>
        <w:separator/>
      </w:r>
    </w:p>
  </w:endnote>
  <w:endnote w:type="continuationSeparator" w:id="1">
    <w:p w:rsidR="009C014B" w:rsidRDefault="009C014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9C014B" w:rsidRDefault="004D2797">
        <w:pPr>
          <w:pStyle w:val="ad"/>
          <w:jc w:val="right"/>
        </w:pPr>
        <w:r>
          <w:fldChar w:fldCharType="begin"/>
        </w:r>
        <w:r w:rsidR="009C014B">
          <w:instrText>PAGE   \* MERGEFORMAT</w:instrText>
        </w:r>
        <w:r>
          <w:fldChar w:fldCharType="separate"/>
        </w:r>
        <w:r w:rsidR="00A134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C014B" w:rsidRDefault="009C01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4B" w:rsidRDefault="009C014B" w:rsidP="00890A3F">
      <w:pPr>
        <w:spacing w:after="0" w:line="240" w:lineRule="auto"/>
      </w:pPr>
      <w:r>
        <w:separator/>
      </w:r>
    </w:p>
  </w:footnote>
  <w:footnote w:type="continuationSeparator" w:id="1">
    <w:p w:rsidR="009C014B" w:rsidRDefault="009C014B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1425E"/>
    <w:rsid w:val="000177D0"/>
    <w:rsid w:val="00023D3F"/>
    <w:rsid w:val="00027085"/>
    <w:rsid w:val="00032EAB"/>
    <w:rsid w:val="00041A2B"/>
    <w:rsid w:val="00045D02"/>
    <w:rsid w:val="00046819"/>
    <w:rsid w:val="00053B6A"/>
    <w:rsid w:val="00063200"/>
    <w:rsid w:val="0006394C"/>
    <w:rsid w:val="000826C0"/>
    <w:rsid w:val="000B7042"/>
    <w:rsid w:val="000D0031"/>
    <w:rsid w:val="000F62B9"/>
    <w:rsid w:val="00103A63"/>
    <w:rsid w:val="00107D96"/>
    <w:rsid w:val="00124B6D"/>
    <w:rsid w:val="00134A68"/>
    <w:rsid w:val="001573A6"/>
    <w:rsid w:val="0016258C"/>
    <w:rsid w:val="00190929"/>
    <w:rsid w:val="0019308E"/>
    <w:rsid w:val="00194471"/>
    <w:rsid w:val="00197916"/>
    <w:rsid w:val="001B4F32"/>
    <w:rsid w:val="001C3CCE"/>
    <w:rsid w:val="001C6BE1"/>
    <w:rsid w:val="001D630B"/>
    <w:rsid w:val="001F1EAA"/>
    <w:rsid w:val="001F272F"/>
    <w:rsid w:val="001F4263"/>
    <w:rsid w:val="00214AE3"/>
    <w:rsid w:val="0022776F"/>
    <w:rsid w:val="0023074A"/>
    <w:rsid w:val="00231659"/>
    <w:rsid w:val="0024722E"/>
    <w:rsid w:val="002666D2"/>
    <w:rsid w:val="0028087D"/>
    <w:rsid w:val="00285A1F"/>
    <w:rsid w:val="002862EE"/>
    <w:rsid w:val="00296023"/>
    <w:rsid w:val="002A4BB8"/>
    <w:rsid w:val="002A7897"/>
    <w:rsid w:val="002D5CFF"/>
    <w:rsid w:val="002D6E27"/>
    <w:rsid w:val="00350A78"/>
    <w:rsid w:val="00375E4F"/>
    <w:rsid w:val="00377B4A"/>
    <w:rsid w:val="003A43D7"/>
    <w:rsid w:val="003A4528"/>
    <w:rsid w:val="003A4819"/>
    <w:rsid w:val="003C64F0"/>
    <w:rsid w:val="003C6EC0"/>
    <w:rsid w:val="0040125D"/>
    <w:rsid w:val="00434D85"/>
    <w:rsid w:val="004724E1"/>
    <w:rsid w:val="00476C01"/>
    <w:rsid w:val="0048591B"/>
    <w:rsid w:val="004A2587"/>
    <w:rsid w:val="004A349D"/>
    <w:rsid w:val="004A5CA6"/>
    <w:rsid w:val="004A7360"/>
    <w:rsid w:val="004B44DF"/>
    <w:rsid w:val="004C0E83"/>
    <w:rsid w:val="004C25D7"/>
    <w:rsid w:val="004D2797"/>
    <w:rsid w:val="004D58DC"/>
    <w:rsid w:val="004E4B43"/>
    <w:rsid w:val="00517829"/>
    <w:rsid w:val="0052200B"/>
    <w:rsid w:val="0054579A"/>
    <w:rsid w:val="00553B6F"/>
    <w:rsid w:val="005617E6"/>
    <w:rsid w:val="00575350"/>
    <w:rsid w:val="005900AE"/>
    <w:rsid w:val="00592685"/>
    <w:rsid w:val="005A4977"/>
    <w:rsid w:val="005B5D91"/>
    <w:rsid w:val="005C6DA0"/>
    <w:rsid w:val="005E231F"/>
    <w:rsid w:val="005F4F52"/>
    <w:rsid w:val="00602AB1"/>
    <w:rsid w:val="00614F4F"/>
    <w:rsid w:val="00642F2A"/>
    <w:rsid w:val="00646E9A"/>
    <w:rsid w:val="006853BD"/>
    <w:rsid w:val="006A0796"/>
    <w:rsid w:val="006B5C2B"/>
    <w:rsid w:val="006C0C3B"/>
    <w:rsid w:val="006C5E14"/>
    <w:rsid w:val="006C7836"/>
    <w:rsid w:val="006C7D4C"/>
    <w:rsid w:val="006D32A0"/>
    <w:rsid w:val="006D5A65"/>
    <w:rsid w:val="006F6B47"/>
    <w:rsid w:val="00704C2C"/>
    <w:rsid w:val="00712254"/>
    <w:rsid w:val="007152F3"/>
    <w:rsid w:val="007240B9"/>
    <w:rsid w:val="00726D1A"/>
    <w:rsid w:val="00740DC1"/>
    <w:rsid w:val="007552A5"/>
    <w:rsid w:val="00760E63"/>
    <w:rsid w:val="007900B9"/>
    <w:rsid w:val="00794262"/>
    <w:rsid w:val="00842A99"/>
    <w:rsid w:val="00890A3F"/>
    <w:rsid w:val="008B79CC"/>
    <w:rsid w:val="008F2859"/>
    <w:rsid w:val="008F3760"/>
    <w:rsid w:val="009036AD"/>
    <w:rsid w:val="009102CB"/>
    <w:rsid w:val="0094074C"/>
    <w:rsid w:val="00992621"/>
    <w:rsid w:val="009936D3"/>
    <w:rsid w:val="009A6976"/>
    <w:rsid w:val="009B2D81"/>
    <w:rsid w:val="009C014B"/>
    <w:rsid w:val="009D1DF3"/>
    <w:rsid w:val="009D66D3"/>
    <w:rsid w:val="009E7F8B"/>
    <w:rsid w:val="00A03FA9"/>
    <w:rsid w:val="00A134BB"/>
    <w:rsid w:val="00A27ED4"/>
    <w:rsid w:val="00A33100"/>
    <w:rsid w:val="00AA0486"/>
    <w:rsid w:val="00AA75E2"/>
    <w:rsid w:val="00AE6E99"/>
    <w:rsid w:val="00B01214"/>
    <w:rsid w:val="00B10952"/>
    <w:rsid w:val="00B236DF"/>
    <w:rsid w:val="00B31CB1"/>
    <w:rsid w:val="00B33934"/>
    <w:rsid w:val="00B35FAE"/>
    <w:rsid w:val="00B43909"/>
    <w:rsid w:val="00B5090D"/>
    <w:rsid w:val="00B57A77"/>
    <w:rsid w:val="00B71A3B"/>
    <w:rsid w:val="00B847E2"/>
    <w:rsid w:val="00B935F2"/>
    <w:rsid w:val="00BA20E0"/>
    <w:rsid w:val="00BA36A9"/>
    <w:rsid w:val="00BB4078"/>
    <w:rsid w:val="00BC3DA9"/>
    <w:rsid w:val="00BC5375"/>
    <w:rsid w:val="00BC5417"/>
    <w:rsid w:val="00BD31E2"/>
    <w:rsid w:val="00BE3E74"/>
    <w:rsid w:val="00C059B2"/>
    <w:rsid w:val="00C21A9D"/>
    <w:rsid w:val="00C33F36"/>
    <w:rsid w:val="00C3601B"/>
    <w:rsid w:val="00C55C31"/>
    <w:rsid w:val="00C575BB"/>
    <w:rsid w:val="00C635FB"/>
    <w:rsid w:val="00C6560C"/>
    <w:rsid w:val="00C6775C"/>
    <w:rsid w:val="00C73B82"/>
    <w:rsid w:val="00C82FCD"/>
    <w:rsid w:val="00CB1B6A"/>
    <w:rsid w:val="00CB5277"/>
    <w:rsid w:val="00CC4729"/>
    <w:rsid w:val="00CC5913"/>
    <w:rsid w:val="00CD0089"/>
    <w:rsid w:val="00CD761D"/>
    <w:rsid w:val="00CD7A0D"/>
    <w:rsid w:val="00CE5919"/>
    <w:rsid w:val="00CF0ED2"/>
    <w:rsid w:val="00D50076"/>
    <w:rsid w:val="00D503DD"/>
    <w:rsid w:val="00D57596"/>
    <w:rsid w:val="00D74C3E"/>
    <w:rsid w:val="00D7688A"/>
    <w:rsid w:val="00DB764C"/>
    <w:rsid w:val="00DC491D"/>
    <w:rsid w:val="00DD0127"/>
    <w:rsid w:val="00DE15F2"/>
    <w:rsid w:val="00DE5B08"/>
    <w:rsid w:val="00DF1632"/>
    <w:rsid w:val="00E023B8"/>
    <w:rsid w:val="00E050A4"/>
    <w:rsid w:val="00E33FAF"/>
    <w:rsid w:val="00E35049"/>
    <w:rsid w:val="00E37532"/>
    <w:rsid w:val="00E55049"/>
    <w:rsid w:val="00E566DF"/>
    <w:rsid w:val="00E64321"/>
    <w:rsid w:val="00E76454"/>
    <w:rsid w:val="00E90B3C"/>
    <w:rsid w:val="00EA063E"/>
    <w:rsid w:val="00EC55C5"/>
    <w:rsid w:val="00EC7C5E"/>
    <w:rsid w:val="00EE0321"/>
    <w:rsid w:val="00EE063E"/>
    <w:rsid w:val="00EF4359"/>
    <w:rsid w:val="00F00569"/>
    <w:rsid w:val="00F00965"/>
    <w:rsid w:val="00F04E81"/>
    <w:rsid w:val="00F25DE6"/>
    <w:rsid w:val="00FB585A"/>
    <w:rsid w:val="00FB62FC"/>
    <w:rsid w:val="00FC4431"/>
    <w:rsid w:val="00FE3BEC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B6D3-75DA-4733-AF3D-C543DED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50</Pages>
  <Words>12454</Words>
  <Characters>70994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22</cp:revision>
  <cp:lastPrinted>2018-03-19T13:40:00Z</cp:lastPrinted>
  <dcterms:created xsi:type="dcterms:W3CDTF">2020-02-10T10:02:00Z</dcterms:created>
  <dcterms:modified xsi:type="dcterms:W3CDTF">2020-03-07T06:12:00Z</dcterms:modified>
</cp:coreProperties>
</file>