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A7221" w:rsidRPr="00B0097E" w:rsidRDefault="00FA7221" w:rsidP="00FA722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УЧЕБНОГО ПРЕДМЕТА</w:t>
      </w:r>
    </w:p>
    <w:p w:rsidR="00527662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</w:t>
      </w:r>
      <w:r w:rsidR="00A63F8C"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ОСНОВЫ БЕЗОПАСНОСТИ </w:t>
      </w:r>
      <w:r w:rsidR="00A63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7662" w:rsidRPr="00FA7221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83231B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 </w:t>
      </w:r>
      <w:r w:rsidR="00FA7221"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A7221" w:rsidRPr="00B0097E" w:rsidRDefault="00FA7221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627A3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FA7221" w:rsidRPr="00FA7221" w:rsidRDefault="00FA7221" w:rsidP="00FA7221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7A31" w:rsidRPr="00FA7221" w:rsidRDefault="00627A3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СОДЕРЖАНИЕ                                                  </w:t>
      </w:r>
      <w:proofErr w:type="gramStart"/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</w:t>
      </w:r>
      <w:proofErr w:type="gramEnd"/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FA7221" w:rsidRPr="00FA7221" w:rsidTr="00FA7221">
        <w:trPr>
          <w:trHeight w:val="670"/>
        </w:trPr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A7221" w:rsidRPr="00FA7221" w:rsidRDefault="00FA7221" w:rsidP="00FA7221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FA7221" w:rsidRPr="00FA7221" w:rsidTr="00FA7221">
        <w:tc>
          <w:tcPr>
            <w:tcW w:w="7668" w:type="dxa"/>
            <w:hideMark/>
          </w:tcPr>
          <w:p w:rsidR="00FA7221" w:rsidRPr="00FA7221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FA7221" w:rsidRPr="00FA7221" w:rsidRDefault="00527662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FA7221" w:rsidRPr="00FA7221" w:rsidRDefault="00FA7221" w:rsidP="00FA7221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специальности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FA7221" w:rsidRP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7221" w:rsidRPr="00FA7221" w:rsidRDefault="00FA7221" w:rsidP="00FA7221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FA7221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FA7221" w:rsidRDefault="00FA7221" w:rsidP="00FA722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учебных планах ОПОП-ППССЗ учебный предмет 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безопасности жизнедеятельности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FA7221" w:rsidRPr="00FA7221" w:rsidRDefault="00FA7221" w:rsidP="00FA722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1.3.1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и ее</w:t>
      </w:r>
      <w:proofErr w:type="gram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государственной символике; патриотизма и долга по защите Отечества;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1.3.2</w:t>
      </w:r>
      <w:proofErr w:type="gram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proofErr w:type="gram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результате освоения учебного предмета обучающийся должен: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proofErr w:type="gram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оказания первой медицинской помощи;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10.11.2011 N 2643)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FA7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</w:t>
      </w:r>
      <w:proofErr w:type="spellStart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19.10.2009 N 427)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A7221">
        <w:rPr>
          <w:rFonts w:ascii="Times New Roman" w:eastAsia="Calibri" w:hAnsi="Times New Roman" w:cs="Times New Roman"/>
          <w:sz w:val="24"/>
          <w:szCs w:val="24"/>
        </w:rPr>
        <w:t>1.3.3</w:t>
      </w:r>
      <w:r w:rsidRPr="00FA72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7221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21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при формировании и развитии </w:t>
      </w:r>
      <w:proofErr w:type="gramStart"/>
      <w:r w:rsidRPr="00FA7221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FA7221">
        <w:rPr>
          <w:rFonts w:ascii="Times New Roman" w:eastAsia="Calibri" w:hAnsi="Times New Roman" w:cs="Times New Roman"/>
          <w:sz w:val="24"/>
          <w:szCs w:val="24"/>
        </w:rPr>
        <w:t xml:space="preserve">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08, ПК</w:t>
      </w:r>
      <w:r w:rsidR="00A63F8C">
        <w:rPr>
          <w:rFonts w:ascii="Times New Roman" w:eastAsia="Calibri" w:hAnsi="Times New Roman" w:cs="Times New Roman"/>
          <w:sz w:val="24"/>
          <w:szCs w:val="24"/>
        </w:rPr>
        <w:t>1.3</w:t>
      </w:r>
      <w:r w:rsidRPr="00FA722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FA7221" w:rsidRPr="00FA7221" w:rsidTr="00FA7221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FA7221" w:rsidRPr="00FA7221" w:rsidTr="00FA72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01. Выбирать способы решения задач профессиональной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деятельности, 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части трудового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труду,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ценности мастерства, трудолюбие;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различных ситуациях (в быту, транспорте, общественных местах, в природной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цифровой среде); владение основными способами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проявить нетерпимость к проявлениям насилия в 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социальном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взаимодействии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уметь распознавать опасности 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цифровой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03. Планировать и реализовывать собственное профессиональное и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личностное развитие, предпринимательскую деятельность в профессиональной сфере, использовать знания по </w:t>
            </w:r>
            <w:r w:rsidR="00C41F05">
              <w:rPr>
                <w:rFonts w:ascii="Times New Roman" w:eastAsia="Calibri" w:hAnsi="Times New Roman"/>
                <w:sz w:val="24"/>
                <w:szCs w:val="24"/>
              </w:rPr>
              <w:t xml:space="preserve">правовой и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сознания, этического поведения;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использовать приемы рефлексии для оценки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ситуации, выбора верного решения;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сформировать представления о ценности безопасного поведения для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угрозах военного характера; роли Вооруженных Сил Российской Федерации 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обеспечении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мира; знать основы обороны государства и воинской службы;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обсуждать результаты совместной работы;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различать опасные явления в социальном взаимодействии, в том числе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C41F05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0" w:name="_GoBack"/>
            <w:bookmarkEnd w:id="0"/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</w:t>
            </w:r>
            <w:proofErr w:type="gramStart"/>
            <w:r w:rsidRPr="00FA722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своих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конституционных прав и обязанностей, уважение закона и правопорядка;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технологиях и труде;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  <w:proofErr w:type="gramStart"/>
            <w:r w:rsidRPr="00FA722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проведении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контртеррористической операции;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государственной системы, российского законодательства,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  <w:proofErr w:type="gramEnd"/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сформировать представления о важности соблюдения правил дорожного движения всеми участниками движения,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правил безопасности на транспорте. </w:t>
            </w: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t>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  <w:proofErr w:type="gramEnd"/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В части физического воспитания: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потребность в физическом совершенствовании,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занятиях спортивно-оздоровительной деятельностью;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вредным привычкам; знать о необходимых действиях при чрезвычайных ситуациях биолого-социального характера</w:t>
            </w:r>
            <w:proofErr w:type="gramEnd"/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A63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="00A63F8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63F8C">
              <w:rPr>
                <w:rFonts w:ascii="Times New Roman" w:hAnsi="Times New Roman"/>
                <w:sz w:val="24"/>
                <w:szCs w:val="24"/>
              </w:rPr>
              <w:t>.3</w:t>
            </w:r>
            <w:r w:rsidRPr="00FA7221">
              <w:rPr>
                <w:rFonts w:ascii="Times New Roman" w:hAnsi="Times New Roman"/>
                <w:sz w:val="24"/>
                <w:szCs w:val="24"/>
              </w:rPr>
              <w:t>. Планировать и организовывать по соблюдению норм безопасных условий труда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Имеет практический опыт - планирования работы коллектива исполнителей; - определения основных </w:t>
            </w:r>
            <w:proofErr w:type="spellStart"/>
            <w:r w:rsidRPr="00FA7221">
              <w:rPr>
                <w:rFonts w:ascii="Times New Roman" w:hAnsi="Times New Roman"/>
                <w:sz w:val="24"/>
                <w:szCs w:val="24"/>
              </w:rPr>
              <w:t>техникоэкономических</w:t>
            </w:r>
            <w:proofErr w:type="spellEnd"/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показателей деятельности подразделения организации.</w:t>
            </w:r>
          </w:p>
        </w:tc>
      </w:tr>
      <w:tr w:rsidR="00FA7221" w:rsidRPr="00FA7221" w:rsidTr="00FA7221">
        <w:tc>
          <w:tcPr>
            <w:tcW w:w="31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7221" w:rsidRPr="00FA7221" w:rsidRDefault="00FA7221" w:rsidP="00FA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79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</w:t>
      </w:r>
      <w:proofErr w:type="gramStart"/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ЛР20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231B" w:rsidRPr="0083231B" w:rsidRDefault="0083231B" w:rsidP="0083231B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23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УЧЕБНОГО ПРЕДМЕТА</w:t>
      </w:r>
    </w:p>
    <w:p w:rsidR="0083231B" w:rsidRPr="0083231B" w:rsidRDefault="0083231B" w:rsidP="008323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23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83231B" w:rsidRPr="0083231B" w:rsidRDefault="0083231B" w:rsidP="008323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3231B" w:rsidRPr="0083231B" w:rsidTr="0083231B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F54AF1" w:rsidRDefault="0083231B" w:rsidP="0083231B">
            <w:pPr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  <w:r w:rsidR="00F54AF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</w:t>
            </w:r>
            <w:proofErr w:type="spellEnd"/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часах</w:t>
            </w:r>
            <w:proofErr w:type="spellEnd"/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31B" w:rsidRPr="0083231B" w:rsidRDefault="0083231B" w:rsidP="0083231B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3231B" w:rsidRPr="0083231B" w:rsidTr="0083231B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31B" w:rsidRPr="0083231B" w:rsidTr="0083231B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before="14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A7221" w:rsidRPr="00FA7221" w:rsidSect="00FA7221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CD5701" w:rsidRPr="00CD5701" w:rsidRDefault="00CD5701" w:rsidP="00CD5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5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2.2 Тематический план и содержание учебного предмета ОУД.10 ОСНОВЫ БЕЗОПАСНОСТИ ЖИЗНЕДЕЯТЕЛЬНОСТИ И ЗАЩИТЫ РОДИНЫ</w:t>
      </w:r>
    </w:p>
    <w:p w:rsidR="00CD5701" w:rsidRPr="00CD5701" w:rsidRDefault="00CD5701" w:rsidP="00CD5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CD5701" w:rsidRPr="00CD5701" w:rsidTr="0073528F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лабораторные и практические работы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Формируемые компетенции (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) и личностные результаты (ЛК)</w:t>
            </w:r>
          </w:p>
        </w:tc>
      </w:tr>
      <w:tr w:rsidR="00CD5701" w:rsidRPr="00CD5701" w:rsidTr="0073528F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D5701" w:rsidRPr="00CD5701" w:rsidTr="0073528F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 семестр (32=10 часов –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лк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+ 22 часа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пз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CD5701" w:rsidRPr="00CD5701" w:rsidTr="0073528F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 Мир опасностей современной молодежи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4) локализация/прекращение действий негативных факторов;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развития?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 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развития – это способность явлений, процессов, объектов в системе «человек/общество - Жизнь» в определенных условиях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препятствовать/нарушать закон сохранения Жизни.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 1.3.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Практическое занятие №2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электросамокатчик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/райдер, мотоциклист);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1.4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1.5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выявить и описать опасности в ситуации захвата заложников в общественном месте (ЧС)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мероприятиии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приемлимый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риск – уровень опасности, который на данном этапе социально-экономического и научно-технического развития 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общество считает допустимым.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Предметное действие: определение вероятности осуществления риска и масштаба последствий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2.2.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№6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оценки риска для разных участников дорожного движения (пешеход,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электросамокатчик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№7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определение вероятности осуществления риска пожара в общественном месте (по формуле) и масштаба последствий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воздействия опасных факторов пожара на посетителей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оценки рисков опасных факторов пожара в общественном месте (торговом центре, клубе, интернате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 2.4.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оценить риск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реализации ситуации захвата заложников/стрельбы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 общественном месте?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№8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психологическая, ранения, гибель)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тяжести последствий воздействия опасных факторов захвата заложников/стрельбы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общественном месте для разработки/выбора мер по профилактике и защите посетителей.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  <w:proofErr w:type="gramEnd"/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определение вероятности осуществления опасных и вредных факторов риска для жизни и здоровья подростков (по формуле)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 тяжести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2.6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ак оценить риск реализации ситуации, актуальной для обучающихся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определение вероятности осуществления риска и масштаба последствий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№9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определение вероятности осуществления риска и масштаба последствий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воздействия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 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экобиозащитной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техники и средств индивидуальной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чрезвычайной ситуации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доступность+функциональность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 средства индивидуальной защиты, модели безопасного поведения, обозначить пути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3.2.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 №10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 пандемию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№11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дорожного движения</w:t>
            </w:r>
            <w:proofErr w:type="gramEnd"/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2 семестр (12 часов –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лк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+ 24 час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пз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CD5701" w:rsidRPr="00CD5701" w:rsidTr="0073528F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№12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пожара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3.5. 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теракта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снижения уровня действия опасных факторов теракта/стрельбы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Раздел 4.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создания Вооруженных Сил России.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Вооруженных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саморегуляции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4.4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ак стать офицером РА. Основные виды военных образовательных учреждений профессионального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Кодексе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чести Российского офицера, требованиях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ЛР 01,ЛР 10, ЛР 16,ЛР 20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01,ЛР 10, ЛР 16,ЛР 20</w:t>
            </w:r>
          </w:p>
        </w:tc>
      </w:tr>
      <w:tr w:rsidR="00CD5701" w:rsidRPr="00CD5701" w:rsidTr="0073528F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слаживания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подразделений.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одношереножного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строя в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двухшереножный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№16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действиях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командам руководителя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Первая помощь при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№17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№18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№19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№20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самоспасения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самоспасения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Первая помощь 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пострадавшем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производстве.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1. 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3.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«Обзорная статья об индивидуальных средствах защиты на стройплощадке»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</w:tr>
      <w:tr w:rsidR="00CD5701" w:rsidRPr="00CD5701" w:rsidTr="0073528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5.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травмирования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CD5701" w:rsidRPr="00CD5701" w:rsidRDefault="00CD5701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травмирования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D5701" w:rsidRPr="00CD5701" w:rsidRDefault="00CD5701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9" w:history="1">
              <w:r w:rsidRPr="00CD570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ь</w:t>
              </w:r>
              <w:proofErr w:type="gramEnd"/>
              <w:r w:rsidRPr="00CD570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 законы </w:t>
              </w:r>
            </w:hyperlink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CD5701" w:rsidRPr="00CD5701" w:rsidRDefault="00CD5701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</w:t>
            </w: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дл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оказания первой помощи при </w:t>
            </w:r>
            <w:proofErr w:type="spell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травмировании</w:t>
            </w:r>
            <w:proofErr w:type="spell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73528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73528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CD5701" w:rsidRDefault="00CD5701" w:rsidP="00A63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Default="00A63F8C" w:rsidP="00627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FA7221" w:rsidRPr="00FA7221" w:rsidSect="00FA7221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A63F8C" w:rsidRPr="003849B2" w:rsidRDefault="00A63F8C" w:rsidP="00A63F8C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9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A63F8C" w:rsidRPr="003849B2" w:rsidRDefault="00A63F8C" w:rsidP="00A63F8C">
      <w:pPr>
        <w:spacing w:after="160" w:line="254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- посадочные места по количеству </w:t>
      </w:r>
      <w:proofErr w:type="gramStart"/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обучающихся</w:t>
      </w:r>
      <w:proofErr w:type="gramEnd"/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;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49B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proofErr w:type="gramStart"/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Оснащенность: 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  <w:proofErr w:type="gramEnd"/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Демонстрационные материалы - 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моделей геометрических тел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Учебно-наглядные пособия - комплект плакатов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A63F8C" w:rsidRPr="003849B2" w:rsidRDefault="00A63F8C" w:rsidP="00A63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A63F8C" w:rsidRPr="003849B2" w:rsidRDefault="00A63F8C" w:rsidP="00A63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3.2.1.Основные </w:t>
      </w:r>
      <w:proofErr w:type="spellStart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источники</w:t>
      </w:r>
      <w:proofErr w:type="spellEnd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Просвещение. - - 2024. - 224 с. 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-р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Просвещение- 2024. - 252 с. – режим 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Микрюков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 +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еПриложение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КноРус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Резчиков Е. А., Рязанцева А. 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для среднего профессионального образования 2-е изд.,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 - 639 с. - (Профессиональное образование)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.р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ежим доступа:</w:t>
            </w:r>
            <w:r w:rsidRPr="00384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0" w:tgtFrame="_blank" w:history="1">
              <w:r w:rsidRPr="003849B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63F8C" w:rsidRPr="003849B2" w:rsidRDefault="00A63F8C" w:rsidP="00A63F8C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3.2.2.Дополнительные </w:t>
      </w:r>
      <w:proofErr w:type="spellStart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источники</w:t>
      </w:r>
      <w:proofErr w:type="spellEnd"/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A63F8C" w:rsidRPr="003849B2" w:rsidRDefault="00A63F8C" w:rsidP="00A63F8C">
      <w:pPr>
        <w:spacing w:after="0" w:line="254" w:lineRule="auto"/>
        <w:ind w:left="360" w:firstLine="34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</w:t>
            </w:r>
            <w:proofErr w:type="gram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:</w:t>
            </w:r>
            <w:proofErr w:type="gram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Юрайт</w:t>
            </w:r>
            <w:proofErr w:type="spell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, 2023. — 399 с. — (Профессиональное образование)</w:t>
            </w:r>
            <w:proofErr w:type="gram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.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</w:t>
            </w:r>
            <w:proofErr w:type="gramEnd"/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</w:t>
            </w:r>
            <w:hyperlink r:id="rId11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— 3-е изд.,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</w:t>
            </w:r>
            <w:proofErr w:type="gram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:</w:t>
            </w:r>
            <w:proofErr w:type="gram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Юрайт</w:t>
            </w:r>
            <w:proofErr w:type="spellEnd"/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, 2023. — 313 с. 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 </w:t>
            </w:r>
            <w:hyperlink r:id="rId12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eastAsia="zh-CN"/>
              </w:rPr>
              <w:t>Резчиков, Е. А. </w:t>
            </w: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Москва</w:t>
            </w:r>
            <w:proofErr w:type="gramStart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:</w:t>
            </w:r>
            <w:proofErr w:type="gramEnd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Издательство </w:t>
            </w:r>
            <w:proofErr w:type="spellStart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Юрайт</w:t>
            </w:r>
            <w:proofErr w:type="spellEnd"/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2024. — 635 с.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4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Pr="003849B2" w:rsidRDefault="00A63F8C" w:rsidP="00A63F8C">
      <w:pPr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предусмотрено</w:t>
      </w:r>
    </w:p>
    <w:p w:rsidR="00627A31" w:rsidRDefault="00627A31" w:rsidP="00FA7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79" w:rsidRPr="00FA7221" w:rsidRDefault="00CE7D79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FA7221" w:rsidRPr="00FA7221" w:rsidRDefault="00FA7221" w:rsidP="00FA72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Промежуточная аттестация в форме дифференцированного зачёта.</w:t>
      </w:r>
    </w:p>
    <w:p w:rsidR="00FA7221" w:rsidRPr="00FA7221" w:rsidRDefault="00FA7221" w:rsidP="00FA7221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01.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Выбирать способы решения задач профессиональной деятельности применительно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Темы:4.4;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02.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03.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 3.2;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04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06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Темы:5.1,5.2,5.3,5.4,5.5;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07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</w:t>
            </w:r>
            <w:proofErr w:type="gramEnd"/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08.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1, Темы:1.1;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3, Темы:3.1,3.3,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 Темы:5.3,5.4,5.5,5.6;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CE7D79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</w:t>
            </w:r>
            <w:r w:rsidR="00FA7221"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  <w:r w:rsidR="00FA7221"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 организовывать по соблюдению норм безопасных условий труда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A7221" w:rsidRPr="00FA7221" w:rsidRDefault="00FA7221" w:rsidP="00FA72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Результат выполнения практических работ, индивидуальных заданий, </w:t>
            </w:r>
            <w:proofErr w:type="gramStart"/>
            <w:r w:rsidRPr="00FA722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кейс-ситуаций</w:t>
            </w:r>
            <w:proofErr w:type="gramEnd"/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CE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анализ конкретных ситуаций;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pacing w:after="0" w:line="240" w:lineRule="auto"/>
      </w:pPr>
    </w:p>
    <w:sectPr w:rsidR="00FA7221" w:rsidSect="00FA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1B" w:rsidRDefault="0083231B" w:rsidP="00FA7221">
      <w:pPr>
        <w:spacing w:after="0" w:line="240" w:lineRule="auto"/>
      </w:pPr>
      <w:r>
        <w:separator/>
      </w:r>
    </w:p>
  </w:endnote>
  <w:endnote w:type="continuationSeparator" w:id="0">
    <w:p w:rsidR="0083231B" w:rsidRDefault="0083231B" w:rsidP="00F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3741"/>
      <w:docPartObj>
        <w:docPartGallery w:val="Page Numbers (Bottom of Page)"/>
        <w:docPartUnique/>
      </w:docPartObj>
    </w:sdtPr>
    <w:sdtEndPr/>
    <w:sdtContent>
      <w:p w:rsidR="0083231B" w:rsidRDefault="008323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05">
          <w:rPr>
            <w:noProof/>
          </w:rPr>
          <w:t>10</w:t>
        </w:r>
        <w:r>
          <w:fldChar w:fldCharType="end"/>
        </w:r>
      </w:p>
    </w:sdtContent>
  </w:sdt>
  <w:p w:rsidR="0083231B" w:rsidRDefault="008323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1B" w:rsidRDefault="0083231B" w:rsidP="00FA7221">
      <w:pPr>
        <w:spacing w:after="0" w:line="240" w:lineRule="auto"/>
      </w:pPr>
      <w:r>
        <w:separator/>
      </w:r>
    </w:p>
  </w:footnote>
  <w:footnote w:type="continuationSeparator" w:id="0">
    <w:p w:rsidR="0083231B" w:rsidRDefault="0083231B" w:rsidP="00FA7221">
      <w:pPr>
        <w:spacing w:after="0" w:line="240" w:lineRule="auto"/>
      </w:pPr>
      <w:r>
        <w:continuationSeparator/>
      </w:r>
    </w:p>
  </w:footnote>
  <w:footnote w:id="1">
    <w:p w:rsidR="0083231B" w:rsidRDefault="0083231B" w:rsidP="00FA7221">
      <w:pPr>
        <w:rPr>
          <w:rFonts w:ascii="Calibri" w:hAnsi="Calibri"/>
          <w:color w:val="000000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1"/>
    <w:rsid w:val="00081942"/>
    <w:rsid w:val="004C1A1C"/>
    <w:rsid w:val="00527662"/>
    <w:rsid w:val="00627A31"/>
    <w:rsid w:val="00784F65"/>
    <w:rsid w:val="007A469B"/>
    <w:rsid w:val="0083231B"/>
    <w:rsid w:val="00914B5B"/>
    <w:rsid w:val="00A63F8C"/>
    <w:rsid w:val="00AE7D56"/>
    <w:rsid w:val="00B40E25"/>
    <w:rsid w:val="00C41F05"/>
    <w:rsid w:val="00CD5701"/>
    <w:rsid w:val="00CE1B51"/>
    <w:rsid w:val="00CE7450"/>
    <w:rsid w:val="00CE7D79"/>
    <w:rsid w:val="00D047DE"/>
    <w:rsid w:val="00F54AF1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221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FA7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FA72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FA7221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A7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A72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A72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FA722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FA7221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FA7221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FA7221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221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FA7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FA72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FA7221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A7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A72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A72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FA722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FA7221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FA7221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FA7221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8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8618</Words>
  <Characters>49125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12</cp:revision>
  <cp:lastPrinted>2024-09-24T06:36:00Z</cp:lastPrinted>
  <dcterms:created xsi:type="dcterms:W3CDTF">2023-08-03T07:09:00Z</dcterms:created>
  <dcterms:modified xsi:type="dcterms:W3CDTF">2025-01-17T11:07:00Z</dcterms:modified>
</cp:coreProperties>
</file>