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F1" w:rsidRPr="00B85772" w:rsidRDefault="00705C85" w:rsidP="00705C85">
      <w:pPr>
        <w:pStyle w:val="af6"/>
        <w:jc w:val="right"/>
      </w:pPr>
      <w:r>
        <w:t>Приложение.</w:t>
      </w:r>
    </w:p>
    <w:p w:rsidR="00820650" w:rsidRPr="00B85772" w:rsidRDefault="003333F1" w:rsidP="00705C85">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705C85">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705C85">
      <w:pPr>
        <w:spacing w:after="0" w:line="240" w:lineRule="auto"/>
        <w:jc w:val="right"/>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bookmarkStart w:id="0" w:name="_GoBack"/>
      <w:bookmarkEnd w:id="0"/>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820650" w:rsidRPr="00B85772">
        <w:rPr>
          <w:rFonts w:ascii="Times New Roman" w:hAnsi="Times New Roman" w:cs="Times New Roman"/>
          <w:b/>
          <w:i/>
          <w:sz w:val="24"/>
          <w:szCs w:val="24"/>
        </w:rPr>
        <w:t>3</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firstRow="1" w:lastRow="0" w:firstColumn="1" w:lastColumn="0" w:noHBand="0" w:noVBand="1"/>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 xml:space="preserve">инженер по подготовке </w:t>
            </w:r>
            <w:proofErr w:type="gramStart"/>
            <w:r w:rsidRPr="00B85772">
              <w:rPr>
                <w:rFonts w:ascii="Times New Roman" w:hAnsi="Times New Roman" w:cs="Times New Roman"/>
                <w:iCs/>
                <w:sz w:val="24"/>
              </w:rPr>
              <w:t>кадров Кировского центра организации работы железнодорожных станций подразделения Горьковской дирекции управления</w:t>
            </w:r>
            <w:proofErr w:type="gramEnd"/>
            <w:r w:rsidRPr="00B85772">
              <w:rPr>
                <w:rFonts w:ascii="Times New Roman" w:hAnsi="Times New Roman" w:cs="Times New Roman"/>
                <w:iCs/>
                <w:sz w:val="24"/>
              </w:rPr>
              <w:t xml:space="preserve"> движением - структурного подразделения Центральной Дирекции управления движением - филиала ОАО «РЖД» </w:t>
            </w:r>
            <w:proofErr w:type="spellStart"/>
            <w:r w:rsidRPr="00B85772">
              <w:rPr>
                <w:rFonts w:ascii="Times New Roman" w:hAnsi="Times New Roman" w:cs="Times New Roman"/>
                <w:iCs/>
                <w:sz w:val="24"/>
              </w:rPr>
              <w:t>Шапенкова</w:t>
            </w:r>
            <w:proofErr w:type="spellEnd"/>
            <w:r w:rsidRPr="00B85772">
              <w:rPr>
                <w:rFonts w:ascii="Times New Roman" w:hAnsi="Times New Roman" w:cs="Times New Roman"/>
                <w:iCs/>
                <w:sz w:val="24"/>
              </w:rPr>
              <w:t xml:space="preserve">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firstRow="1" w:lastRow="1" w:firstColumn="1" w:lastColumn="1" w:noHBand="0" w:noVBand="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8570C1">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8570C1">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9"/>
          <w:footerReference w:type="default" r:id="rId10"/>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B85772">
        <w:rPr>
          <w:rFonts w:ascii="Times New Roman" w:hAnsi="Times New Roman" w:cs="Times New Roman"/>
          <w:sz w:val="24"/>
          <w:szCs w:val="24"/>
        </w:rPr>
        <w:t>обучающийся</w:t>
      </w:r>
      <w:proofErr w:type="gramEnd"/>
      <w:r w:rsidRPr="00B85772">
        <w:rPr>
          <w:rFonts w:ascii="Times New Roman" w:hAnsi="Times New Roman" w:cs="Times New Roman"/>
          <w:sz w:val="24"/>
          <w:szCs w:val="24"/>
        </w:rPr>
        <w:t xml:space="preserve">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1</w:t>
      </w:r>
      <w:proofErr w:type="gramEnd"/>
      <w:r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00CA5FB5" w:rsidRPr="00B85772">
        <w:rPr>
          <w:rFonts w:ascii="Times New Roman" w:hAnsi="Times New Roman" w:cs="Times New Roman"/>
          <w:sz w:val="24"/>
          <w:szCs w:val="24"/>
        </w:rPr>
        <w:t>2</w:t>
      </w:r>
      <w:proofErr w:type="gramEnd"/>
      <w:r w:rsidR="00CA5FB5"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4</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w:t>
      </w:r>
      <w:proofErr w:type="gramStart"/>
      <w:r w:rsidRPr="00B85772">
        <w:rPr>
          <w:rFonts w:ascii="Times New Roman" w:hAnsi="Times New Roman" w:cs="Times New Roman"/>
          <w:sz w:val="24"/>
          <w:szCs w:val="24"/>
        </w:rPr>
        <w:t>6</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7</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 xml:space="preserve">методического обеспечения для самостоятельной работы </w:t>
      </w:r>
      <w:proofErr w:type="gramStart"/>
      <w:r w:rsidRPr="00B85772">
        <w:rPr>
          <w:rFonts w:ascii="Times New Roman" w:hAnsi="Times New Roman" w:cs="Times New Roman"/>
          <w:b/>
          <w:sz w:val="24"/>
          <w:szCs w:val="24"/>
        </w:rPr>
        <w:t>обучающихся</w:t>
      </w:r>
      <w:proofErr w:type="gramEnd"/>
      <w:r w:rsidRPr="00B85772">
        <w:rPr>
          <w:rFonts w:ascii="Times New Roman" w:hAnsi="Times New Roman" w:cs="Times New Roman"/>
          <w:b/>
          <w:sz w:val="24"/>
          <w:szCs w:val="24"/>
        </w:rPr>
        <w:t xml:space="preserve">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Виды, перечень и содержание внеаудиторной самостоятельной работы установлены преподавателями самостоятельно с учетом мнения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proofErr w:type="gramStart"/>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w:t>
      </w:r>
      <w:proofErr w:type="gramEnd"/>
      <w:r w:rsidRPr="00B85772">
        <w:rPr>
          <w:rFonts w:ascii="Times New Roman" w:hAnsi="Times New Roman" w:cs="Times New Roman"/>
          <w:sz w:val="24"/>
          <w:szCs w:val="24"/>
        </w:rPr>
        <w:t xml:space="preserve">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Для выполнения </w:t>
      </w:r>
      <w:proofErr w:type="gramStart"/>
      <w:r w:rsidRPr="00B85772">
        <w:rPr>
          <w:rFonts w:ascii="Times New Roman" w:hAnsi="Times New Roman" w:cs="Times New Roman"/>
          <w:sz w:val="24"/>
          <w:szCs w:val="24"/>
        </w:rPr>
        <w:t>обучающимися</w:t>
      </w:r>
      <w:proofErr w:type="gramEnd"/>
      <w:r w:rsidRPr="00B85772">
        <w:rPr>
          <w:rFonts w:ascii="Times New Roman" w:hAnsi="Times New Roman" w:cs="Times New Roman"/>
          <w:sz w:val="24"/>
          <w:szCs w:val="24"/>
        </w:rPr>
        <w:t xml:space="preserve">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firstRow="0" w:lastRow="0" w:firstColumn="0" w:lastColumn="0" w:noHBand="0" w:noVBand="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Готовность </w:t>
            </w:r>
            <w:proofErr w:type="gramStart"/>
            <w:r w:rsidRPr="00B85772">
              <w:rPr>
                <w:rFonts w:ascii="Times New Roman" w:eastAsia="Times New Roman" w:hAnsi="Times New Roman" w:cs="Times New Roman"/>
                <w:spacing w:val="-6"/>
                <w:sz w:val="24"/>
                <w:szCs w:val="24"/>
                <w:lang w:eastAsia="ru-RU"/>
              </w:rPr>
              <w:t>обучающегося</w:t>
            </w:r>
            <w:proofErr w:type="gramEnd"/>
            <w:r w:rsidRPr="00B85772">
              <w:rPr>
                <w:rFonts w:ascii="Times New Roman" w:eastAsia="Times New Roman" w:hAnsi="Times New Roman" w:cs="Times New Roman"/>
                <w:spacing w:val="-6"/>
                <w:sz w:val="24"/>
                <w:szCs w:val="24"/>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Способный</w:t>
            </w:r>
            <w:proofErr w:type="gramEnd"/>
            <w:r w:rsidRPr="00B85772">
              <w:rPr>
                <w:rFonts w:ascii="Times New Roman" w:eastAsia="Times New Roman" w:hAnsi="Times New Roman" w:cs="Times New Roman"/>
                <w:spacing w:val="-6"/>
                <w:sz w:val="24"/>
                <w:szCs w:val="24"/>
                <w:lang w:eastAsia="ru-RU"/>
              </w:rPr>
              <w:t xml:space="preserve">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Демонстрирующий </w:t>
            </w:r>
            <w:proofErr w:type="spellStart"/>
            <w:r w:rsidRPr="00B85772">
              <w:rPr>
                <w:rFonts w:ascii="Times New Roman" w:eastAsia="Times New Roman" w:hAnsi="Times New Roman" w:cs="Times New Roman"/>
                <w:spacing w:val="-6"/>
                <w:sz w:val="24"/>
                <w:szCs w:val="24"/>
                <w:lang w:eastAsia="ru-RU"/>
              </w:rPr>
              <w:t>клиентоориентированный</w:t>
            </w:r>
            <w:proofErr w:type="spellEnd"/>
            <w:r w:rsidRPr="00B85772">
              <w:rPr>
                <w:rFonts w:ascii="Times New Roman" w:eastAsia="Times New Roman" w:hAnsi="Times New Roman" w:cs="Times New Roman"/>
                <w:spacing w:val="-6"/>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Проявляющий</w:t>
            </w:r>
            <w:proofErr w:type="gramEnd"/>
            <w:r w:rsidRPr="00B85772">
              <w:rPr>
                <w:rFonts w:ascii="Times New Roman" w:eastAsia="Times New Roman" w:hAnsi="Times New Roman" w:cs="Times New Roman"/>
                <w:spacing w:val="-6"/>
                <w:sz w:val="24"/>
                <w:szCs w:val="24"/>
                <w:lang w:eastAsia="ru-RU"/>
              </w:rPr>
              <w:t xml:space="preserve">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Умеющий</w:t>
            </w:r>
            <w:proofErr w:type="gramEnd"/>
            <w:r w:rsidRPr="00B85772">
              <w:rPr>
                <w:rFonts w:ascii="Times New Roman" w:eastAsia="Times New Roman" w:hAnsi="Times New Roman" w:cs="Times New Roman"/>
                <w:spacing w:val="-6"/>
                <w:sz w:val="24"/>
                <w:szCs w:val="24"/>
                <w:lang w:eastAsia="ru-RU"/>
              </w:rPr>
              <w:t xml:space="preserve">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w:t>
      </w:r>
      <w:proofErr w:type="gramStart"/>
      <w:r w:rsidRPr="00B85772">
        <w:rPr>
          <w:rFonts w:ascii="Times New Roman" w:hAnsi="Times New Roman" w:cs="Times New Roman"/>
          <w:b/>
          <w:sz w:val="24"/>
          <w:szCs w:val="24"/>
        </w:rPr>
        <w:t>обучения по</w:t>
      </w:r>
      <w:proofErr w:type="gramEnd"/>
      <w:r w:rsidRPr="00B85772">
        <w:rPr>
          <w:rFonts w:ascii="Times New Roman" w:hAnsi="Times New Roman" w:cs="Times New Roman"/>
          <w:b/>
          <w:sz w:val="24"/>
          <w:szCs w:val="24"/>
        </w:rPr>
        <w:t xml:space="preserve">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w:t>
            </w:r>
            <w:proofErr w:type="spellEnd"/>
            <w:r w:rsidRPr="00B85772">
              <w:rPr>
                <w:rFonts w:ascii="Times New Roman" w:eastAsia="Courier New" w:hAnsi="Times New Roman" w:cs="Times New Roman"/>
                <w:bCs/>
                <w:sz w:val="24"/>
                <w:szCs w:val="24"/>
                <w:shd w:val="clear" w:color="auto" w:fill="FFFFFF"/>
              </w:rPr>
              <w:t>-часов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w:t>
            </w:r>
            <w:proofErr w:type="spellEnd"/>
            <w:r w:rsidRPr="00B85772">
              <w:rPr>
                <w:rFonts w:ascii="Times New Roman" w:eastAsia="Courier New" w:hAnsi="Times New Roman" w:cs="Times New Roman"/>
                <w:bCs/>
                <w:sz w:val="24"/>
                <w:szCs w:val="24"/>
                <w:shd w:val="clear" w:color="auto" w:fill="FFFFFF"/>
              </w:rPr>
              <w:t>-часов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 xml:space="preserve">профессиональный модуль реализуется </w:t>
      </w:r>
      <w:proofErr w:type="gramStart"/>
      <w:r w:rsidRPr="00E31141">
        <w:rPr>
          <w:rFonts w:ascii="Times New Roman" w:hAnsi="Times New Roman" w:cs="Times New Roman"/>
          <w:bCs/>
          <w:sz w:val="24"/>
          <w:szCs w:val="24"/>
        </w:rPr>
        <w:t>в</w:t>
      </w:r>
      <w:proofErr w:type="gramEnd"/>
      <w:r w:rsidRPr="00E31141">
        <w:rPr>
          <w:rFonts w:ascii="Times New Roman" w:hAnsi="Times New Roman" w:cs="Times New Roman"/>
          <w:bCs/>
          <w:sz w:val="24"/>
          <w:szCs w:val="24"/>
        </w:rPr>
        <w:t>:</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 xml:space="preserve">учебных </w:t>
      </w:r>
      <w:proofErr w:type="gramStart"/>
      <w:r w:rsidRPr="00E31141">
        <w:rPr>
          <w:rFonts w:ascii="Times New Roman" w:hAnsi="Times New Roman" w:cs="Times New Roman"/>
          <w:b/>
          <w:bCs/>
          <w:sz w:val="24"/>
          <w:szCs w:val="24"/>
        </w:rPr>
        <w:t>кабинетах</w:t>
      </w:r>
      <w:proofErr w:type="gramEnd"/>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 xml:space="preserve">учебном </w:t>
      </w:r>
      <w:proofErr w:type="gramStart"/>
      <w:r w:rsidRPr="00E31141">
        <w:rPr>
          <w:rFonts w:ascii="Times New Roman" w:hAnsi="Times New Roman" w:cs="Times New Roman"/>
          <w:b/>
          <w:sz w:val="24"/>
          <w:szCs w:val="24"/>
        </w:rPr>
        <w:t>полигоне</w:t>
      </w:r>
      <w:proofErr w:type="gramEnd"/>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посадочные места по количеству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proofErr w:type="gramStart"/>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roofErr w:type="gramEnd"/>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w:t>
      </w:r>
      <w:proofErr w:type="gramStart"/>
      <w:r w:rsidRPr="0095048E">
        <w:rPr>
          <w:rFonts w:ascii="Times New Roman" w:hAnsi="Times New Roman" w:cs="Times New Roman"/>
          <w:sz w:val="24"/>
        </w:rPr>
        <w:t>соответствующих</w:t>
      </w:r>
      <w:proofErr w:type="gramEnd"/>
      <w:r w:rsidRPr="0095048E">
        <w:rPr>
          <w:rFonts w:ascii="Times New Roman" w:hAnsi="Times New Roman" w:cs="Times New Roman"/>
          <w:sz w:val="24"/>
        </w:rPr>
        <w:t xml:space="preserve">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xml:space="preserve">№ </w:t>
            </w:r>
            <w:proofErr w:type="gramStart"/>
            <w:r w:rsidRPr="001519B3">
              <w:rPr>
                <w:rFonts w:ascii="Times New Roman" w:eastAsia="Times New Roman" w:hAnsi="Times New Roman" w:cs="Times New Roman"/>
                <w:bCs/>
                <w:sz w:val="20"/>
                <w:szCs w:val="20"/>
                <w:lang w:eastAsia="ru-RU"/>
              </w:rPr>
              <w:t>п</w:t>
            </w:r>
            <w:proofErr w:type="gramEnd"/>
            <w:r w:rsidRPr="001519B3">
              <w:rPr>
                <w:rFonts w:ascii="Times New Roman" w:eastAsia="Times New Roman" w:hAnsi="Times New Roman" w:cs="Times New Roman"/>
                <w:bCs/>
                <w:sz w:val="20"/>
                <w:szCs w:val="20"/>
                <w:lang w:eastAsia="ru-RU"/>
              </w:rPr>
              <w:t>/п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gramStart"/>
            <w:r w:rsidRPr="001519B3">
              <w:rPr>
                <w:rFonts w:ascii="Times New Roman" w:eastAsia="Times New Roman" w:hAnsi="Times New Roman" w:cs="Times New Roman"/>
                <w:sz w:val="20"/>
                <w:szCs w:val="20"/>
                <w:lang w:eastAsia="ru-RU"/>
              </w:rPr>
              <w:t>Коробочная</w:t>
            </w:r>
            <w:proofErr w:type="gramEnd"/>
            <w:r w:rsidRPr="001519B3">
              <w:rPr>
                <w:rFonts w:ascii="Times New Roman" w:eastAsia="Times New Roman" w:hAnsi="Times New Roman" w:cs="Times New Roman"/>
                <w:sz w:val="20"/>
                <w:szCs w:val="20"/>
                <w:lang w:eastAsia="ru-RU"/>
              </w:rPr>
              <w:t xml:space="preserve">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 xml:space="preserve">ABBY </w:t>
            </w:r>
            <w:proofErr w:type="spellStart"/>
            <w:r w:rsidRPr="001519B3">
              <w:rPr>
                <w:rFonts w:ascii="Times New Roman" w:eastAsia="Times New Roman" w:hAnsi="Times New Roman" w:cs="Times New Roman"/>
                <w:sz w:val="20"/>
                <w:szCs w:val="20"/>
                <w:lang w:val="en-US" w:eastAsia="ru-RU"/>
              </w:rPr>
              <w:t>FineReader</w:t>
            </w:r>
            <w:proofErr w:type="spellEnd"/>
            <w:r w:rsidRPr="001519B3">
              <w:rPr>
                <w:rFonts w:ascii="Times New Roman" w:eastAsia="Times New Roman" w:hAnsi="Times New Roman" w:cs="Times New Roman"/>
                <w:sz w:val="20"/>
                <w:szCs w:val="20"/>
                <w:lang w:val="en-US" w:eastAsia="ru-RU"/>
              </w:rPr>
              <w:t xml:space="preserve">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 xml:space="preserve">Коробочная </w:t>
            </w:r>
            <w:proofErr w:type="gramStart"/>
            <w:r w:rsidRPr="001519B3">
              <w:rPr>
                <w:rFonts w:ascii="Times New Roman" w:eastAsia="Times New Roman" w:hAnsi="Times New Roman" w:cs="Times New Roman"/>
                <w:sz w:val="20"/>
                <w:szCs w:val="20"/>
                <w:lang w:eastAsia="ru-RU"/>
              </w:rPr>
              <w:t xml:space="preserve">( </w:t>
            </w:r>
            <w:proofErr w:type="gramEnd"/>
            <w:r w:rsidRPr="001519B3">
              <w:rPr>
                <w:rFonts w:ascii="Times New Roman" w:eastAsia="Times New Roman" w:hAnsi="Times New Roman" w:cs="Times New Roman"/>
                <w:sz w:val="20"/>
                <w:szCs w:val="20"/>
                <w:lang w:eastAsia="ru-RU"/>
              </w:rPr>
              <w:t>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proofErr w:type="spellStart"/>
            <w:r w:rsidRPr="001519B3">
              <w:rPr>
                <w:rFonts w:ascii="Times New Roman" w:eastAsia="Times New Roman" w:hAnsi="Times New Roman" w:cs="Times New Roman"/>
                <w:sz w:val="20"/>
                <w:szCs w:val="20"/>
                <w:lang w:val="en-US" w:eastAsia="ru-RU"/>
              </w:rPr>
              <w:t>SkyDNS</w:t>
            </w:r>
            <w:proofErr w:type="spellEnd"/>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 xml:space="preserve">Программное обеспечение по GNU </w:t>
      </w:r>
      <w:proofErr w:type="spellStart"/>
      <w:r w:rsidRPr="00B85772">
        <w:rPr>
          <w:rFonts w:ascii="Times New Roman" w:eastAsia="Times New Roman" w:hAnsi="Times New Roman" w:cs="Times New Roman"/>
          <w:b/>
          <w:sz w:val="24"/>
          <w:szCs w:val="24"/>
          <w:lang w:eastAsia="ru-RU"/>
        </w:rPr>
        <w:t>General</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Public</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License</w:t>
      </w:r>
      <w:proofErr w:type="spellEnd"/>
      <w:r w:rsidRPr="00B85772">
        <w:rPr>
          <w:rFonts w:ascii="Times New Roman" w:eastAsia="Times New Roman" w:hAnsi="Times New Roman" w:cs="Times New Roman"/>
          <w:b/>
          <w:sz w:val="24"/>
          <w:szCs w:val="24"/>
          <w:lang w:eastAsia="ru-RU"/>
        </w:rPr>
        <w:t xml:space="preserv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eastAsia="ru-RU"/>
              </w:rPr>
              <w:t>МойОфис</w:t>
            </w:r>
            <w:proofErr w:type="spellEnd"/>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proofErr w:type="gramStart"/>
      <w:r w:rsidRPr="0095048E">
        <w:rPr>
          <w:rFonts w:ascii="Times New Roman" w:hAnsi="Times New Roman" w:cs="Times New Roman"/>
          <w:sz w:val="24"/>
          <w:lang w:val="en-US"/>
        </w:rPr>
        <w:t>Zoom</w:t>
      </w:r>
      <w:proofErr w:type="gramEnd"/>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 xml:space="preserve">Электронная платформа </w:t>
      </w:r>
      <w:proofErr w:type="spellStart"/>
      <w:r w:rsidRPr="0095048E">
        <w:rPr>
          <w:rFonts w:ascii="Times New Roman" w:hAnsi="Times New Roman" w:cs="Times New Roman"/>
          <w:color w:val="000000"/>
          <w:sz w:val="24"/>
        </w:rPr>
        <w:t>Moodle</w:t>
      </w:r>
      <w:proofErr w:type="spellEnd"/>
      <w:r w:rsidRPr="0095048E">
        <w:rPr>
          <w:rFonts w:ascii="Times New Roman" w:hAnsi="Times New Roman" w:cs="Times New Roman"/>
          <w:color w:val="000000"/>
          <w:sz w:val="24"/>
        </w:rPr>
        <w:t>.</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Ф. С. Технология и организация перевозок на железнодорожном транспорте  : учебник / Ф.С. </w:t>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[и др.]</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c.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Управление перевозочным процессом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приложен. № 2 к 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Зубков, В. Н. Технология и управление работой станций и узлов</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В. Н. Зубков, Н. Н. Мусиенко.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методические указания по выполнению практических занятий по учебной практике / М. А. Мельникова.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http://umczdt.ru/books/41/239491/.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Г. А. Организация движения поездов на участках региона железной дороги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выполнению дипломного проекта / Г. А. </w:t>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http://umczdt.ru/books/40/251409/.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МДК.02.02. Организация пассажирских перевозок и обслуживание пассажиров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Правила перевозок пассажиров,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железнодорожным транспортом</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Приказ Министерства транспорта РФ № 473 от 19.12.2013 (ред. от 13.04.2020)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http://www.consultant.ru/document/cons_doc_LAW_166504/</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Правила оказания услуг по перевозкам на железнодорожном транспорте пассажиров, а также грузов,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для личных, семейных, домашних и иных нужд, не связанных с осуществлением предпринимательской деятельности: Постановление Правительства РФ № 810 от 27.05.2021</w:t>
      </w:r>
      <w:r w:rsidR="008C1EE9">
        <w:rPr>
          <w:rFonts w:ascii="Times New Roman" w:hAnsi="Times New Roman" w:cs="Times New Roman"/>
          <w:color w:val="000000"/>
          <w:sz w:val="24"/>
          <w:szCs w:val="24"/>
        </w:rPr>
        <w:t xml:space="preserve"> </w:t>
      </w:r>
      <w:r w:rsidR="008C1EE9" w:rsidRPr="00E31141">
        <w:rPr>
          <w:rFonts w:ascii="Times New Roman" w:hAnsi="Times New Roman" w:cs="Times New Roman"/>
          <w:color w:val="000000"/>
          <w:sz w:val="24"/>
          <w:szCs w:val="24"/>
        </w:rPr>
        <w:t xml:space="preserve">(ред. от </w:t>
      </w:r>
      <w:r w:rsidR="008C1EE9">
        <w:rPr>
          <w:rFonts w:ascii="Times New Roman" w:hAnsi="Times New Roman" w:cs="Times New Roman"/>
          <w:color w:val="000000"/>
          <w:sz w:val="24"/>
          <w:szCs w:val="24"/>
        </w:rPr>
        <w:t>27.08.2022</w:t>
      </w:r>
      <w:r w:rsidR="008C1EE9" w:rsidRPr="00E31141">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 URL : http://www.consultant.ru/document/cons_doc_LAW_385630/</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П. М.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 М. </w:t>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188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http://umczdt.ru/books/40/18708/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Чубарова, И. А. Организация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И. А. Чубарова.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Иркутск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proofErr w:type="spellStart"/>
      <w:r w:rsidRPr="00E31141">
        <w:rPr>
          <w:rFonts w:ascii="Times New Roman" w:hAnsi="Times New Roman" w:cs="Times New Roman"/>
          <w:color w:val="000000"/>
          <w:sz w:val="24"/>
          <w:szCs w:val="24"/>
        </w:rPr>
        <w:t>ИрГУПС</w:t>
      </w:r>
      <w:proofErr w:type="spellEnd"/>
      <w:r w:rsidRPr="00E31141">
        <w:rPr>
          <w:rFonts w:ascii="Times New Roman" w:hAnsi="Times New Roman" w:cs="Times New Roman"/>
          <w:color w:val="000000"/>
          <w:sz w:val="24"/>
          <w:szCs w:val="24"/>
        </w:rPr>
        <w:t xml:space="preserve">,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Лань : электронно-</w:t>
      </w:r>
      <w:r w:rsidRPr="00E31141">
        <w:rPr>
          <w:rFonts w:ascii="Times New Roman" w:hAnsi="Times New Roman" w:cs="Times New Roman"/>
          <w:color w:val="000000"/>
          <w:sz w:val="24"/>
          <w:szCs w:val="24"/>
        </w:rPr>
        <w:lastRenderedPageBreak/>
        <w:t xml:space="preserve">библиотечная система.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https://e.lanbook.com/book/157941.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Ю. О. Пассажирские перевозки на железнодорожном транспорте (примеры, задачи, модели, методы и решения)</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Ю. О. </w:t>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xml:space="preserve">, В. Г. </w:t>
      </w:r>
      <w:proofErr w:type="spellStart"/>
      <w:r w:rsidRPr="00E31141">
        <w:rPr>
          <w:rFonts w:ascii="Times New Roman" w:hAnsi="Times New Roman" w:cs="Times New Roman"/>
          <w:color w:val="000000"/>
          <w:sz w:val="24"/>
          <w:szCs w:val="24"/>
        </w:rPr>
        <w:t>Шубко</w:t>
      </w:r>
      <w:proofErr w:type="spellEnd"/>
      <w:r w:rsidRPr="00E31141">
        <w:rPr>
          <w:rFonts w:ascii="Times New Roman" w:hAnsi="Times New Roman" w:cs="Times New Roman"/>
          <w:color w:val="000000"/>
          <w:sz w:val="24"/>
          <w:szCs w:val="24"/>
        </w:rPr>
        <w:t xml:space="preserve">, С. П. Вакуленко.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364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https://umczdt.ru/read/39302/?page=1.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Иванова Е. А. Управление качеством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монография Е. А. Иванова.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http://umczdt.ru/books/47/223412/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/М. М. Агеева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фонд оценочных сре</w:t>
      </w:r>
      <w:proofErr w:type="gramStart"/>
      <w:r w:rsidRPr="00E31141">
        <w:rPr>
          <w:rFonts w:ascii="Times New Roman" w:hAnsi="Times New Roman" w:cs="Times New Roman"/>
          <w:color w:val="000000"/>
          <w:sz w:val="24"/>
          <w:szCs w:val="24"/>
        </w:rPr>
        <w:t>дств дл</w:t>
      </w:r>
      <w:proofErr w:type="gramEnd"/>
      <w:r w:rsidRPr="00E31141">
        <w:rPr>
          <w:rFonts w:ascii="Times New Roman" w:hAnsi="Times New Roman" w:cs="Times New Roman"/>
          <w:color w:val="000000"/>
          <w:sz w:val="24"/>
          <w:szCs w:val="24"/>
        </w:rPr>
        <w:t xml:space="preserve">я обучающихся очной формы обучения СПО специальность 23.02.01 Организация перевозок и управление на транспорте (по видам) (для железнодорожного транспорта) / С. А. Воронина.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http://umczdt.ru/books/40/235834/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Организация пассажирских перевозок в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подготовке к промежуточной аттестации для обучающихся заочной формы обучения СПО специальность 23.02.01 Организация перевозок и управление на транспорте (по видам) (для железнодорожного транспорта) / Э. Р. </w:t>
      </w:r>
      <w:proofErr w:type="spellStart"/>
      <w:r w:rsidRPr="00E31141">
        <w:rPr>
          <w:rFonts w:ascii="Times New Roman" w:hAnsi="Times New Roman" w:cs="Times New Roman"/>
          <w:color w:val="000000"/>
          <w:sz w:val="24"/>
          <w:szCs w:val="24"/>
        </w:rPr>
        <w:t>Шаипова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81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http://umczdt.ru/books/40/235837/ - Текст : электронный.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работы для обучающихся заочной формы обучения образовательных организаций СПО / М. М. Агеева.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http://umczdt.ru/books/40/251453/.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9F4949" w:rsidRPr="00B85772" w:rsidRDefault="009F4949" w:rsidP="00E3114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КонсультантПплюс</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справочно-поисковая  система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1"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Гарант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информационно - правовой портал.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https://www.garant.ru/ .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профессиональная справочная система. - URL</w:t>
      </w:r>
      <w:proofErr w:type="gramStart"/>
      <w:r w:rsidRPr="00B85772">
        <w:rPr>
          <w:rFonts w:ascii="Times New Roman" w:hAnsi="Times New Roman" w:cs="Times New Roman"/>
          <w:w w:val="104"/>
          <w:sz w:val="24"/>
          <w:szCs w:val="24"/>
        </w:rPr>
        <w:t xml:space="preserve"> :</w:t>
      </w:r>
      <w:proofErr w:type="spellStart"/>
      <w:proofErr w:type="gramEnd"/>
      <w:r w:rsidR="00821A12">
        <w:fldChar w:fldCharType="begin"/>
      </w:r>
      <w:r w:rsidR="005F09D5">
        <w:instrText>HYPERLINK "http://www.kodeks.ru/"</w:instrText>
      </w:r>
      <w:r w:rsidR="00821A12">
        <w:fldChar w:fldCharType="separate"/>
      </w:r>
      <w:r w:rsidRPr="00B85772">
        <w:rPr>
          <w:rFonts w:ascii="Times New Roman" w:hAnsi="Times New Roman" w:cs="Times New Roman"/>
          <w:w w:val="104"/>
          <w:sz w:val="24"/>
          <w:szCs w:val="24"/>
        </w:rPr>
        <w:t>http</w:t>
      </w:r>
      <w:proofErr w:type="spellEnd"/>
      <w:r w:rsidRPr="00B85772">
        <w:rPr>
          <w:rFonts w:ascii="Times New Roman" w:hAnsi="Times New Roman" w:cs="Times New Roman"/>
          <w:w w:val="104"/>
          <w:sz w:val="24"/>
          <w:szCs w:val="24"/>
        </w:rPr>
        <w:t>://www.kodeks.ru/</w:t>
      </w:r>
      <w:r w:rsidR="00821A12">
        <w:fldChar w:fldCharType="end"/>
      </w:r>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АСПИЖТ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система правовой информации на железнодорожном транспорте.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2"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3"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Лань</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электронная 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4"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lastRenderedPageBreak/>
        <w:t>BOOK.ru: электронно-библиотечная система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 КНОРУС : издательство учебной литературы.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5"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Ibooks.ru</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электронно-библиотечная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Санкт-Петербург.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6" w:history="1">
        <w:r w:rsidRPr="00B85772">
          <w:rPr>
            <w:rFonts w:ascii="Times New Roman" w:hAnsi="Times New Roman" w:cs="Times New Roman"/>
            <w:w w:val="104"/>
            <w:sz w:val="24"/>
            <w:szCs w:val="24"/>
          </w:rPr>
          <w:t>https://ibooks.ru/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eLIBRARY.RU</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научная электронная библиотека :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7"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зарегистрир</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пользователей.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Министерство транспорта Российской Федерации</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8"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РЖД</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9"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Федеральное агентство железнодорожного транспорта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0"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СЦБИСТ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железнодорожников № 1.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1"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этого экзамена является однозначное решение: «вид профессиональной деятельности </w:t>
      </w:r>
      <w:proofErr w:type="gramStart"/>
      <w:r w:rsidRPr="00B85772">
        <w:rPr>
          <w:rFonts w:ascii="Times New Roman" w:hAnsi="Times New Roman" w:cs="Times New Roman"/>
          <w:sz w:val="24"/>
          <w:szCs w:val="24"/>
        </w:rPr>
        <w:t>освоен</w:t>
      </w:r>
      <w:proofErr w:type="gramEnd"/>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firstRow="1" w:lastRow="0" w:firstColumn="1" w:lastColumn="0" w:noHBand="0" w:noVBand="1"/>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firstRow="1" w:lastRow="0" w:firstColumn="1" w:lastColumn="0" w:noHBand="0" w:noVBand="1"/>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w:t>
            </w:r>
            <w:proofErr w:type="gramStart"/>
            <w:r w:rsidRPr="00D752D6">
              <w:rPr>
                <w:rFonts w:ascii="Times New Roman" w:hAnsi="Times New Roman" w:cs="Times New Roman"/>
                <w:sz w:val="24"/>
                <w:szCs w:val="24"/>
              </w:rPr>
              <w:t>1</w:t>
            </w:r>
            <w:proofErr w:type="gramEnd"/>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4</w:t>
            </w:r>
            <w:proofErr w:type="gramEnd"/>
            <w:r w:rsidRPr="00D752D6">
              <w:rPr>
                <w:rFonts w:ascii="Times New Roman" w:hAnsi="Times New Roman" w:cs="Times New Roman"/>
                <w:sz w:val="24"/>
                <w:szCs w:val="24"/>
              </w:rPr>
              <w:t xml:space="preserve">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1.1, 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6</w:t>
            </w:r>
            <w:proofErr w:type="gramEnd"/>
            <w:r w:rsidRPr="00D752D6">
              <w:rPr>
                <w:rFonts w:ascii="Times New Roman" w:hAnsi="Times New Roman" w:cs="Times New Roman"/>
                <w:sz w:val="24"/>
                <w:szCs w:val="24"/>
              </w:rPr>
              <w:t xml:space="preserve">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7</w:t>
            </w:r>
            <w:proofErr w:type="gramEnd"/>
            <w:r w:rsidRPr="00D752D6">
              <w:rPr>
                <w:rFonts w:ascii="Times New Roman" w:hAnsi="Times New Roman" w:cs="Times New Roman"/>
                <w:sz w:val="24"/>
                <w:szCs w:val="24"/>
              </w:rPr>
              <w:t xml:space="preserve">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28" w:rsidRPr="004C712E" w:rsidRDefault="00D84A28" w:rsidP="0025197A">
      <w:pPr>
        <w:spacing w:after="0" w:line="240" w:lineRule="auto"/>
        <w:rPr>
          <w:sz w:val="20"/>
          <w:szCs w:val="20"/>
          <w:lang w:eastAsia="ru-RU"/>
        </w:rPr>
      </w:pPr>
      <w:r>
        <w:separator/>
      </w:r>
    </w:p>
  </w:endnote>
  <w:endnote w:type="continuationSeparator" w:id="0">
    <w:p w:rsidR="00D84A28" w:rsidRPr="004C712E" w:rsidRDefault="00D84A28"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E9" w:rsidRDefault="00821A12"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E9" w:rsidRDefault="00821A12"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705C85">
      <w:rPr>
        <w:rStyle w:val="af1"/>
        <w:noProof/>
      </w:rPr>
      <w:t>48</w:t>
    </w:r>
    <w:r>
      <w:rPr>
        <w:rStyle w:val="af1"/>
      </w:rPr>
      <w:fldChar w:fldCharType="end"/>
    </w:r>
  </w:p>
  <w:p w:rsidR="008C1EE9" w:rsidRDefault="008C1EE9" w:rsidP="003333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28" w:rsidRPr="004C712E" w:rsidRDefault="00D84A28" w:rsidP="0025197A">
      <w:pPr>
        <w:spacing w:after="0" w:line="240" w:lineRule="auto"/>
        <w:rPr>
          <w:sz w:val="20"/>
          <w:szCs w:val="20"/>
          <w:lang w:eastAsia="ru-RU"/>
        </w:rPr>
      </w:pPr>
      <w:r>
        <w:separator/>
      </w:r>
    </w:p>
  </w:footnote>
  <w:footnote w:type="continuationSeparator" w:id="0">
    <w:p w:rsidR="00D84A28" w:rsidRPr="004C712E" w:rsidRDefault="00D84A28" w:rsidP="0025197A">
      <w:pPr>
        <w:spacing w:after="0" w:line="240" w:lineRule="auto"/>
        <w:rPr>
          <w:sz w:val="20"/>
          <w:szCs w:val="20"/>
          <w:lang w:eastAsia="ru-RU"/>
        </w:rPr>
      </w:pPr>
      <w:r>
        <w:continuationSeparator/>
      </w:r>
    </w:p>
  </w:footnote>
  <w:footnote w:id="1">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6610"/>
    <w:rsid w:val="000373FA"/>
    <w:rsid w:val="000408CD"/>
    <w:rsid w:val="000535A5"/>
    <w:rsid w:val="00055C41"/>
    <w:rsid w:val="00070CFA"/>
    <w:rsid w:val="00075DBC"/>
    <w:rsid w:val="00077E2F"/>
    <w:rsid w:val="00093919"/>
    <w:rsid w:val="0009460C"/>
    <w:rsid w:val="0009753F"/>
    <w:rsid w:val="000A22CA"/>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84749"/>
    <w:rsid w:val="0069755A"/>
    <w:rsid w:val="006B2CD1"/>
    <w:rsid w:val="006C6227"/>
    <w:rsid w:val="006E282C"/>
    <w:rsid w:val="006F4B8A"/>
    <w:rsid w:val="007058B2"/>
    <w:rsid w:val="00705C85"/>
    <w:rsid w:val="007070B1"/>
    <w:rsid w:val="007725EB"/>
    <w:rsid w:val="0078797B"/>
    <w:rsid w:val="007A360E"/>
    <w:rsid w:val="007B210C"/>
    <w:rsid w:val="007D78C8"/>
    <w:rsid w:val="007E35AF"/>
    <w:rsid w:val="008013AB"/>
    <w:rsid w:val="00820650"/>
    <w:rsid w:val="00821100"/>
    <w:rsid w:val="00821A12"/>
    <w:rsid w:val="00824AD3"/>
    <w:rsid w:val="00825D0D"/>
    <w:rsid w:val="00837E1C"/>
    <w:rsid w:val="00840FE8"/>
    <w:rsid w:val="008421A2"/>
    <w:rsid w:val="008421CA"/>
    <w:rsid w:val="008501FC"/>
    <w:rsid w:val="0085093C"/>
    <w:rsid w:val="008570C1"/>
    <w:rsid w:val="00873864"/>
    <w:rsid w:val="00887AFE"/>
    <w:rsid w:val="008B0FFA"/>
    <w:rsid w:val="008C1EE9"/>
    <w:rsid w:val="008C2DD2"/>
    <w:rsid w:val="008D14F3"/>
    <w:rsid w:val="008D4AC4"/>
    <w:rsid w:val="008E2149"/>
    <w:rsid w:val="008E6654"/>
    <w:rsid w:val="00901A3A"/>
    <w:rsid w:val="00937628"/>
    <w:rsid w:val="0096142F"/>
    <w:rsid w:val="0097616C"/>
    <w:rsid w:val="009906E7"/>
    <w:rsid w:val="009945FA"/>
    <w:rsid w:val="009A6917"/>
    <w:rsid w:val="009B76E5"/>
    <w:rsid w:val="009C5165"/>
    <w:rsid w:val="009D2570"/>
    <w:rsid w:val="009E057C"/>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3AA1"/>
    <w:rsid w:val="00D400B8"/>
    <w:rsid w:val="00D64048"/>
    <w:rsid w:val="00D740B3"/>
    <w:rsid w:val="00D752D6"/>
    <w:rsid w:val="00D84A28"/>
    <w:rsid w:val="00DA35C2"/>
    <w:rsid w:val="00DA3E87"/>
    <w:rsid w:val="00DC4B8A"/>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 w:type="paragraph" w:styleId="af6">
    <w:name w:val="No Spacing"/>
    <w:uiPriority w:val="1"/>
    <w:qFormat/>
    <w:rsid w:val="00705C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czdt.ru/books/" TargetMode="External"/><Relationship Id="rId18" Type="http://schemas.openxmlformats.org/officeDocument/2006/relationships/hyperlink" Target="https://mintrans.gov.ru/" TargetMode="External"/><Relationship Id="rId3" Type="http://schemas.openxmlformats.org/officeDocument/2006/relationships/styles" Target="styles.xml"/><Relationship Id="rId21" Type="http://schemas.openxmlformats.org/officeDocument/2006/relationships/hyperlink" Target="http://scbist.com" TargetMode="External"/><Relationship Id="rId7" Type="http://schemas.openxmlformats.org/officeDocument/2006/relationships/footnotes" Target="footnotes.xml"/><Relationship Id="rId12" Type="http://schemas.openxmlformats.org/officeDocument/2006/relationships/hyperlink" Target="https://niias.ru/products-and-services/products/asu/avtomatizirovannaya-sistema-pravovoy-informatsii-na-zheleznodorozhnom-transporte"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ibooks.ru/" TargetMode="External"/><Relationship Id="rId20" Type="http://schemas.openxmlformats.org/officeDocument/2006/relationships/hyperlink" Target="https://rlw.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 TargetMode="External"/><Relationship Id="rId5" Type="http://schemas.openxmlformats.org/officeDocument/2006/relationships/settings" Target="settings.xml"/><Relationship Id="rId15" Type="http://schemas.openxmlformats.org/officeDocument/2006/relationships/hyperlink" Target="https://book.r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rzd.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anbook.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BB080-BBFA-4F9E-BF63-517A0DA3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48</Pages>
  <Words>13047</Words>
  <Characters>74369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113</cp:revision>
  <dcterms:created xsi:type="dcterms:W3CDTF">2023-02-09T09:18:00Z</dcterms:created>
  <dcterms:modified xsi:type="dcterms:W3CDTF">2024-12-11T07:11:00Z</dcterms:modified>
</cp:coreProperties>
</file>