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5A" w:rsidRDefault="00825D5A" w:rsidP="00D34C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D34C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D34CDF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D34CDF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825D5A" w:rsidRDefault="00190D80" w:rsidP="00D34CDF">
      <w:pPr>
        <w:spacing w:line="240" w:lineRule="auto"/>
        <w:ind w:left="580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A1D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C349A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bookmarkStart w:id="0" w:name="_GoBack"/>
      <w:bookmarkEnd w:id="0"/>
      <w:r w:rsidR="00953312">
        <w:rPr>
          <w:rFonts w:ascii="Times New Roman" w:hAnsi="Times New Roman" w:cs="Times New Roman"/>
          <w:b/>
          <w:sz w:val="24"/>
        </w:rPr>
        <w:t xml:space="preserve">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22134E" w:rsidRPr="0022134E" w:rsidRDefault="0022134E" w:rsidP="0022134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34E">
        <w:rPr>
          <w:rFonts w:ascii="Times New Roman" w:eastAsia="Times New Roman" w:hAnsi="Times New Roman" w:cs="Times New Roman"/>
          <w:bCs/>
          <w:sz w:val="24"/>
          <w:szCs w:val="24"/>
        </w:rPr>
        <w:t>Базовая подготовка</w:t>
      </w:r>
    </w:p>
    <w:p w:rsidR="0022134E" w:rsidRPr="0022134E" w:rsidRDefault="0022134E" w:rsidP="0022134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34E">
        <w:rPr>
          <w:rFonts w:ascii="Times New Roman" w:eastAsia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22134E" w:rsidRPr="0022134E" w:rsidRDefault="0022134E" w:rsidP="0022134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34E">
        <w:rPr>
          <w:rFonts w:ascii="Times New Roman" w:eastAsia="Times New Roman" w:hAnsi="Times New Roman" w:cs="Times New Roman"/>
          <w:bCs/>
          <w:sz w:val="24"/>
          <w:szCs w:val="24"/>
        </w:rPr>
        <w:t>(год начала подготовки: 2024)</w:t>
      </w:r>
    </w:p>
    <w:p w:rsidR="0022134E" w:rsidRPr="0022134E" w:rsidRDefault="0022134E" w:rsidP="0022134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134E" w:rsidRPr="0022134E" w:rsidRDefault="0022134E" w:rsidP="0022134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CDF" w:rsidRDefault="00D34CDF" w:rsidP="002213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7641" w:rsidRDefault="00B3764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641" w:rsidRDefault="00B37641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A186C">
        <w:rPr>
          <w:rFonts w:ascii="Times New Roman" w:hAnsi="Times New Roman" w:cs="Times New Roman"/>
          <w:sz w:val="24"/>
          <w:szCs w:val="24"/>
        </w:rPr>
        <w:t xml:space="preserve"> </w:t>
      </w:r>
      <w:r w:rsidR="00895880">
        <w:rPr>
          <w:rFonts w:ascii="Times New Roman" w:hAnsi="Times New Roman" w:cs="Times New Roman"/>
          <w:sz w:val="24"/>
          <w:szCs w:val="24"/>
        </w:rPr>
        <w:t>СГ. 01</w:t>
      </w:r>
      <w:r w:rsidR="00184F79">
        <w:rPr>
          <w:rFonts w:ascii="Times New Roman" w:hAnsi="Times New Roman" w:cs="Times New Roman"/>
          <w:sz w:val="24"/>
          <w:szCs w:val="24"/>
        </w:rPr>
        <w:t xml:space="preserve"> </w:t>
      </w:r>
      <w:r w:rsidR="000A186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9588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дорог.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40FDF" w:rsidRPr="00336C68" w:rsidRDefault="00840FDF" w:rsidP="00840F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40FDF" w:rsidRPr="00336C68" w:rsidRDefault="00840FDF" w:rsidP="00840FDF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825D5A" w:rsidRPr="00B37641" w:rsidRDefault="000A186C" w:rsidP="00B37641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25D5A" w:rsidRPr="00B37641" w:rsidRDefault="007F44B0" w:rsidP="00B37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825D5A" w:rsidRPr="00B37641" w:rsidRDefault="00AA7736" w:rsidP="00B3764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1B773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1B773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B37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37641">
              <w:rPr>
                <w:rFonts w:ascii="Times New Roman" w:hAnsi="Times New Roman" w:cs="Times New Roman"/>
                <w:iCs/>
                <w:sz w:val="24"/>
                <w:szCs w:val="24"/>
              </w:rPr>
              <w:t>3 семестр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AA7736" w:rsidRPr="00B37641" w:rsidRDefault="00825D5A" w:rsidP="00B37641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37641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B37641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641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641" w:rsidRDefault="00B37641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B37641" w:rsidRDefault="00B37641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7641" w:rsidRPr="00E03FB6" w:rsidRDefault="00B37641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B37641" w:rsidRPr="00E03FB6" w:rsidTr="00667E20">
        <w:trPr>
          <w:trHeight w:val="20"/>
        </w:trPr>
        <w:tc>
          <w:tcPr>
            <w:tcW w:w="2415" w:type="dxa"/>
            <w:vMerge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Дезинтеграционные процессы в России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Рассмотрение и анализ документального (наглядного и текстового) материала,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lastRenderedPageBreak/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73640D">
        <w:trPr>
          <w:trHeight w:val="976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и мировые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формирования единого образовательного и культурного пространства в Европе и 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37641" w:rsidRPr="00E03FB6" w:rsidTr="00B37641">
        <w:trPr>
          <w:trHeight w:val="274"/>
        </w:trPr>
        <w:tc>
          <w:tcPr>
            <w:tcW w:w="2415" w:type="dxa"/>
            <w:vMerge w:val="restart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</w:tcPr>
          <w:p w:rsidR="00B37641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7641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B37641" w:rsidRPr="00E03FB6" w:rsidTr="00667E20">
        <w:trPr>
          <w:trHeight w:val="20"/>
        </w:trPr>
        <w:tc>
          <w:tcPr>
            <w:tcW w:w="2415" w:type="dxa"/>
            <w:vMerge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B37641" w:rsidRPr="00E03FB6" w:rsidRDefault="00B37641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B37641" w:rsidRPr="00E03FB6" w:rsidRDefault="00B37641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B37641" w:rsidRPr="00E03FB6" w:rsidRDefault="00B37641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vMerge/>
            <w:shd w:val="clear" w:color="auto" w:fill="auto"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B37641" w:rsidRPr="00E03FB6" w:rsidRDefault="00B37641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A97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CF24D5" w:rsidRDefault="00CF24D5" w:rsidP="00CF2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CF24D5" w:rsidRPr="00610412" w:rsidRDefault="00CF24D5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A976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60" w:rsidRPr="00036A11" w:rsidRDefault="00825D5A" w:rsidP="000938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3860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="00A9766C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учебной дисциплины</w:t>
      </w:r>
      <w:r w:rsidRPr="00036A11">
        <w:rPr>
          <w:rFonts w:ascii="Times New Roman" w:hAnsi="Times New Roman" w:cs="Times New Roman"/>
          <w:sz w:val="24"/>
          <w:szCs w:val="24"/>
        </w:rPr>
        <w:t xml:space="preserve">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093860" w:rsidRPr="00036A11" w:rsidRDefault="00093860" w:rsidP="000938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093860" w:rsidRPr="00B16DEE" w:rsidTr="00B37641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093860" w:rsidRPr="00B16DEE" w:rsidRDefault="00093860" w:rsidP="00B3764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93860" w:rsidRPr="00B16DEE" w:rsidTr="00B37641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93860" w:rsidRPr="00B16DEE" w:rsidTr="00B37641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37BB8" w:rsidRDefault="00093860" w:rsidP="00B37641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093860" w:rsidRPr="00B16DEE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093860" w:rsidRPr="00E37BB8" w:rsidRDefault="00093860" w:rsidP="00B37641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093860" w:rsidRPr="00B16DEE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B37641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093860" w:rsidRPr="004D46F8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4D46F8" w:rsidRDefault="00093860" w:rsidP="00B376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093860" w:rsidRPr="004D46F8" w:rsidRDefault="00093860" w:rsidP="00B376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093860" w:rsidRPr="004D46F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093860" w:rsidRPr="004D46F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903A43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4D46F8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093860" w:rsidRPr="00B16DEE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093860" w:rsidRPr="00B16DEE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B3764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093860" w:rsidRPr="00B16DEE" w:rsidRDefault="00093860" w:rsidP="00B376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B3764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093860" w:rsidRDefault="00093860" w:rsidP="00B3764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60" w:rsidRPr="00B16DEE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B37641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093860" w:rsidRPr="00EC5F5A" w:rsidRDefault="00093860" w:rsidP="00B3764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3860" w:rsidRPr="00EC5F5A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093860" w:rsidRPr="00B16DEE" w:rsidRDefault="00093860" w:rsidP="00B37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093860" w:rsidRPr="00BD7171" w:rsidRDefault="00093860" w:rsidP="00B3764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093860" w:rsidRPr="00BD7171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BD7171" w:rsidRDefault="00093860" w:rsidP="00B37641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AA7736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E37BB8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093860" w:rsidRPr="004D46F8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093860" w:rsidRPr="00B16DEE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093860" w:rsidRPr="00B16DEE" w:rsidRDefault="00093860" w:rsidP="00B37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093860" w:rsidRPr="00BD7171" w:rsidRDefault="00093860" w:rsidP="00B376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093860" w:rsidRPr="00B16DEE" w:rsidTr="00B3764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4D46F8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860" w:rsidRPr="00BD7171" w:rsidRDefault="00093860" w:rsidP="00B3764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60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093860" w:rsidRPr="00B16DEE" w:rsidRDefault="00093860" w:rsidP="00B37641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093860" w:rsidRDefault="00093860" w:rsidP="00093860">
      <w:pPr>
        <w:autoSpaceDE w:val="0"/>
        <w:autoSpaceDN w:val="0"/>
        <w:adjustRightInd w:val="0"/>
        <w:spacing w:after="0" w:line="360" w:lineRule="auto"/>
        <w:jc w:val="both"/>
        <w:sectPr w:rsidR="00093860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825D5A" w:rsidRPr="00CA3499" w:rsidRDefault="00825D5A" w:rsidP="00093860">
      <w:pPr>
        <w:spacing w:after="0" w:line="240" w:lineRule="auto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7DB" w:rsidRPr="005717DB" w:rsidRDefault="005717DB" w:rsidP="00A9766C">
      <w:pPr>
        <w:spacing w:after="0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DF" w:rsidRPr="004C712E" w:rsidRDefault="00D34CDF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34CDF" w:rsidRPr="004C712E" w:rsidRDefault="00D34CD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DF" w:rsidRDefault="00D34CDF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349A0">
      <w:rPr>
        <w:rStyle w:val="af0"/>
        <w:noProof/>
      </w:rPr>
      <w:t>2</w:t>
    </w:r>
    <w:r>
      <w:rPr>
        <w:rStyle w:val="af0"/>
      </w:rPr>
      <w:fldChar w:fldCharType="end"/>
    </w:r>
  </w:p>
  <w:p w:rsidR="00D34CDF" w:rsidRDefault="00D34CDF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DF" w:rsidRDefault="00D34CD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34CDF" w:rsidRDefault="00D34CDF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DF" w:rsidRDefault="00D34CD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349A0">
      <w:rPr>
        <w:rStyle w:val="af0"/>
        <w:noProof/>
      </w:rPr>
      <w:t>33</w:t>
    </w:r>
    <w:r>
      <w:rPr>
        <w:rStyle w:val="af0"/>
      </w:rPr>
      <w:fldChar w:fldCharType="end"/>
    </w:r>
  </w:p>
  <w:p w:rsidR="00D34CDF" w:rsidRDefault="00D34CDF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DF" w:rsidRPr="004C712E" w:rsidRDefault="00D34CDF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34CDF" w:rsidRPr="004C712E" w:rsidRDefault="00D34CD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D34CDF" w:rsidRPr="00AC249E" w:rsidRDefault="00D34CDF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CDF" w:rsidRDefault="00D34CDF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53227"/>
    <w:rsid w:val="00077E2F"/>
    <w:rsid w:val="00093506"/>
    <w:rsid w:val="00093860"/>
    <w:rsid w:val="000A186C"/>
    <w:rsid w:val="000B5B53"/>
    <w:rsid w:val="000C24A7"/>
    <w:rsid w:val="000D50A6"/>
    <w:rsid w:val="000F357C"/>
    <w:rsid w:val="000F7591"/>
    <w:rsid w:val="0013666F"/>
    <w:rsid w:val="00136DAB"/>
    <w:rsid w:val="001430CE"/>
    <w:rsid w:val="00143465"/>
    <w:rsid w:val="00156A92"/>
    <w:rsid w:val="001734BD"/>
    <w:rsid w:val="00184F79"/>
    <w:rsid w:val="00190D80"/>
    <w:rsid w:val="001B048A"/>
    <w:rsid w:val="001B4917"/>
    <w:rsid w:val="001B49F0"/>
    <w:rsid w:val="001B519F"/>
    <w:rsid w:val="001B7732"/>
    <w:rsid w:val="001D1916"/>
    <w:rsid w:val="001E2C66"/>
    <w:rsid w:val="002028EA"/>
    <w:rsid w:val="00214615"/>
    <w:rsid w:val="002148DD"/>
    <w:rsid w:val="00215FE2"/>
    <w:rsid w:val="002171D4"/>
    <w:rsid w:val="0022134E"/>
    <w:rsid w:val="00245922"/>
    <w:rsid w:val="0025197A"/>
    <w:rsid w:val="00252287"/>
    <w:rsid w:val="0027165E"/>
    <w:rsid w:val="00297A6C"/>
    <w:rsid w:val="002C1E8E"/>
    <w:rsid w:val="002C5AD3"/>
    <w:rsid w:val="002E403E"/>
    <w:rsid w:val="00301F9A"/>
    <w:rsid w:val="0032529E"/>
    <w:rsid w:val="00330211"/>
    <w:rsid w:val="00332F7E"/>
    <w:rsid w:val="003333F1"/>
    <w:rsid w:val="00355DB2"/>
    <w:rsid w:val="00363AA4"/>
    <w:rsid w:val="0039080A"/>
    <w:rsid w:val="00393152"/>
    <w:rsid w:val="003947E1"/>
    <w:rsid w:val="003A7D58"/>
    <w:rsid w:val="00412062"/>
    <w:rsid w:val="00413A49"/>
    <w:rsid w:val="0041552E"/>
    <w:rsid w:val="00434C4C"/>
    <w:rsid w:val="00450F79"/>
    <w:rsid w:val="00455F01"/>
    <w:rsid w:val="004835BE"/>
    <w:rsid w:val="00494AA5"/>
    <w:rsid w:val="0049796B"/>
    <w:rsid w:val="004A474C"/>
    <w:rsid w:val="004B0081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7030F0"/>
    <w:rsid w:val="00716C61"/>
    <w:rsid w:val="00733799"/>
    <w:rsid w:val="0073640D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40FDF"/>
    <w:rsid w:val="0085093C"/>
    <w:rsid w:val="00876460"/>
    <w:rsid w:val="00883D2B"/>
    <w:rsid w:val="00895880"/>
    <w:rsid w:val="008A40B2"/>
    <w:rsid w:val="008E17C1"/>
    <w:rsid w:val="00911BDF"/>
    <w:rsid w:val="009307D6"/>
    <w:rsid w:val="00953312"/>
    <w:rsid w:val="00977EBA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9766C"/>
    <w:rsid w:val="00AA7736"/>
    <w:rsid w:val="00AE5B0B"/>
    <w:rsid w:val="00B021EC"/>
    <w:rsid w:val="00B2605A"/>
    <w:rsid w:val="00B37641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688A"/>
    <w:rsid w:val="00C161B6"/>
    <w:rsid w:val="00C20873"/>
    <w:rsid w:val="00C2089A"/>
    <w:rsid w:val="00C349A0"/>
    <w:rsid w:val="00C36DD6"/>
    <w:rsid w:val="00C432E6"/>
    <w:rsid w:val="00C45DAA"/>
    <w:rsid w:val="00C51E3F"/>
    <w:rsid w:val="00C5272E"/>
    <w:rsid w:val="00C579D4"/>
    <w:rsid w:val="00C77F5C"/>
    <w:rsid w:val="00C94F0C"/>
    <w:rsid w:val="00CA3499"/>
    <w:rsid w:val="00CC1E26"/>
    <w:rsid w:val="00CC7F8E"/>
    <w:rsid w:val="00CF24D5"/>
    <w:rsid w:val="00D10E0F"/>
    <w:rsid w:val="00D33AA1"/>
    <w:rsid w:val="00D34CDF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B5427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69A19F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1411-9EA6-4DDC-91EA-FA775CF3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33</Pages>
  <Words>13219</Words>
  <Characters>75350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 директора УМО</cp:lastModifiedBy>
  <cp:revision>45</cp:revision>
  <cp:lastPrinted>2023-03-23T05:46:00Z</cp:lastPrinted>
  <dcterms:created xsi:type="dcterms:W3CDTF">2023-03-02T10:27:00Z</dcterms:created>
  <dcterms:modified xsi:type="dcterms:W3CDTF">2024-12-17T08:29:00Z</dcterms:modified>
</cp:coreProperties>
</file>