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g4"/>
      <w:bookmarkEnd w:id="1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131E9A" w:rsidRPr="00776663" w:rsidRDefault="00FA0E01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>
        <w:t xml:space="preserve">ОК 03. </w:t>
      </w:r>
      <w:r w:rsidRPr="003B476D"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03082">
        <w:t xml:space="preserve">правовой и </w:t>
      </w:r>
      <w:r w:rsidRPr="003B476D">
        <w:t>финансовой грамотности в различных жизненных ситуациях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</w:r>
      <w:r w:rsidR="00FA0E01" w:rsidRPr="000C7429">
        <w:rPr>
          <w:lang w:eastAsia="en-US"/>
        </w:rPr>
        <w:t>Оформлять документы, регламентирующие организацию перевозочного процесса на транспорте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транспортно-логистическому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</w:tr>
      <w:tr w:rsidR="00CF49AB" w:rsidRPr="000906BA" w:rsidTr="00CF49AB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EB71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CF49A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" w:name="Pg6"/>
      <w:bookmarkEnd w:id="2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A0E01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нов. Грузозахватные приспособления к кранам. Определение мощности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F62E6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0E6A4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E0504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F0218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  <w:bookmarkStart w:id="3" w:name="Pg7"/>
      <w:bookmarkStart w:id="4" w:name="Pg14"/>
      <w:bookmarkStart w:id="5" w:name="Pg15"/>
      <w:bookmarkEnd w:id="3"/>
      <w:bookmarkEnd w:id="4"/>
      <w:bookmarkEnd w:id="5"/>
      <w:r w:rsidR="009879EB"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9246"/>
        <w:gridCol w:w="997"/>
        <w:gridCol w:w="1917"/>
      </w:tblGrid>
      <w:tr w:rsidR="006D1876" w:rsidRPr="000906BA" w:rsidTr="006D1876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06EF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73F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203082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Электропогрузчики. Автопогрузчики. Рабочее оборудование погрузчиков. Специальные вилочные погрузчики. Ковшовые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B7154" w:rsidRDefault="00EB7154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  <w:lang w:val="en-US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217108" w:rsidRPr="00217108" w:rsidRDefault="00217108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7108">
        <w:rPr>
          <w:rFonts w:ascii="Times New Roman" w:hAnsi="Times New Roman"/>
          <w:bCs/>
          <w:sz w:val="24"/>
          <w:szCs w:val="24"/>
        </w:rPr>
        <w:t>4.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 :  методическое пособие / Л. А.  Симонова. — Москва : УМЦ ЖДТ,  2023. — 160 с.   — Текст : электронный // УМЦ ЖДТ : электронная библиотека. — URL: https://umczdt.ru/books/1258/280010/— Режим доступа: по подписке.</w:t>
      </w: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6A73DF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A4" w:rsidRDefault="009905A4" w:rsidP="00C0059E">
      <w:pPr>
        <w:spacing w:after="0" w:line="240" w:lineRule="auto"/>
      </w:pPr>
      <w:r>
        <w:separator/>
      </w:r>
    </w:p>
  </w:endnote>
  <w:endnote w:type="continuationSeparator" w:id="0">
    <w:p w:rsidR="009905A4" w:rsidRDefault="009905A4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D7717" w:rsidRDefault="00E47331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8D7717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9163EC">
          <w:rPr>
            <w:rFonts w:ascii="Times New Roman" w:hAnsi="Times New Roman"/>
            <w:noProof/>
          </w:rPr>
          <w:t>4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8D7717" w:rsidRPr="00C0059E" w:rsidRDefault="008D7717">
    <w:pPr>
      <w:pStyle w:val="af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17" w:rsidRPr="008109CE" w:rsidRDefault="00E47331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8D7717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9163EC">
      <w:rPr>
        <w:rFonts w:ascii="Times New Roman" w:hAnsi="Times New Roman"/>
        <w:noProof/>
      </w:rPr>
      <w:t>28</w:t>
    </w:r>
    <w:r w:rsidRPr="008109CE">
      <w:rPr>
        <w:rFonts w:ascii="Times New Roman" w:hAnsi="Times New Roman"/>
      </w:rPr>
      <w:fldChar w:fldCharType="end"/>
    </w:r>
  </w:p>
  <w:p w:rsidR="008D7717" w:rsidRPr="00C0059E" w:rsidRDefault="008D7717">
    <w:pPr>
      <w:pStyle w:val="af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A4" w:rsidRDefault="009905A4" w:rsidP="00C0059E">
      <w:pPr>
        <w:spacing w:after="0" w:line="240" w:lineRule="auto"/>
      </w:pPr>
      <w:r>
        <w:separator/>
      </w:r>
    </w:p>
  </w:footnote>
  <w:footnote w:type="continuationSeparator" w:id="0">
    <w:p w:rsidR="009905A4" w:rsidRDefault="009905A4" w:rsidP="00C0059E">
      <w:pPr>
        <w:spacing w:after="0" w:line="240" w:lineRule="auto"/>
      </w:pPr>
      <w:r>
        <w:continuationSeparator/>
      </w:r>
    </w:p>
  </w:footnote>
  <w:footnote w:id="1">
    <w:p w:rsidR="008D7717" w:rsidRDefault="008D771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 w15:restartNumberingAfterBreak="0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 w15:restartNumberingAfterBreak="0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 w15:restartNumberingAfterBreak="0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 w15:restartNumberingAfterBreak="0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2"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02C"/>
    <w:rsid w:val="002B2FE5"/>
    <w:rsid w:val="002B6BEC"/>
    <w:rsid w:val="002B7C5B"/>
    <w:rsid w:val="002D304A"/>
    <w:rsid w:val="002D341E"/>
    <w:rsid w:val="002D3872"/>
    <w:rsid w:val="002D4A9D"/>
    <w:rsid w:val="002D7165"/>
    <w:rsid w:val="002E0FC3"/>
    <w:rsid w:val="002F1282"/>
    <w:rsid w:val="002F2E4C"/>
    <w:rsid w:val="002F38C2"/>
    <w:rsid w:val="002F445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2097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16BC2"/>
    <w:rsid w:val="00721C1B"/>
    <w:rsid w:val="00735F70"/>
    <w:rsid w:val="00746AAF"/>
    <w:rsid w:val="00747508"/>
    <w:rsid w:val="0075507F"/>
    <w:rsid w:val="00756FEE"/>
    <w:rsid w:val="007570D4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455A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63EC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4A0C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366E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B4F6F"/>
    <w:rsid w:val="00FC5E34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FFE2C-219F-44C0-A10B-27F968C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5319-9FE8-4FC7-8073-A5077796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28</Pages>
  <Words>7334</Words>
  <Characters>41808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Специалист УМО</cp:lastModifiedBy>
  <cp:revision>52</cp:revision>
  <cp:lastPrinted>2022-03-10T11:45:00Z</cp:lastPrinted>
  <dcterms:created xsi:type="dcterms:W3CDTF">2023-04-18T08:00:00Z</dcterms:created>
  <dcterms:modified xsi:type="dcterms:W3CDTF">2024-12-10T07:29:00Z</dcterms:modified>
</cp:coreProperties>
</file>