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F8" w:rsidRDefault="00273C30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9.3.12 </w:t>
      </w:r>
    </w:p>
    <w:p w:rsidR="005578F8" w:rsidRDefault="00273C30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5578F8" w:rsidRDefault="00273C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38.02.01 Экономика и бухгалтерский учёт </w:t>
      </w:r>
    </w:p>
    <w:p w:rsidR="005578F8" w:rsidRDefault="00273C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(по отраслям)</w:t>
      </w: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5578F8" w:rsidRDefault="00273C30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5578F8" w:rsidRDefault="005578F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5578F8" w:rsidRDefault="00273C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38.02.01 Экономика и бухгалтерский учёт (по отраслям)</w:t>
      </w:r>
    </w:p>
    <w:p w:rsidR="005578F8" w:rsidRDefault="005578F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578F8" w:rsidRDefault="005578F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F13B0C">
        <w:rPr>
          <w:rFonts w:ascii="Times New Roman" w:eastAsia="Times New Roman" w:hAnsi="Times New Roman" w:cs="Times New Roman"/>
          <w:i/>
          <w:sz w:val="24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5578F8" w:rsidRDefault="005578F8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Default="005578F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Default="00273C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F13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5578F8" w:rsidRDefault="00273C30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СОДЕРЖАНИЕ                                                  СТР</w:t>
      </w: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578F8">
        <w:tc>
          <w:tcPr>
            <w:tcW w:w="7668" w:type="dxa"/>
          </w:tcPr>
          <w:p w:rsidR="005578F8" w:rsidRDefault="005578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5578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>
        <w:tc>
          <w:tcPr>
            <w:tcW w:w="7668" w:type="dxa"/>
          </w:tcPr>
          <w:p w:rsidR="005578F8" w:rsidRDefault="00273C30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5578F8" w:rsidRDefault="005578F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5578F8">
        <w:tc>
          <w:tcPr>
            <w:tcW w:w="7668" w:type="dxa"/>
          </w:tcPr>
          <w:p w:rsidR="005578F8" w:rsidRDefault="00273C30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578F8" w:rsidRDefault="005578F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11 </w:t>
            </w:r>
          </w:p>
        </w:tc>
      </w:tr>
      <w:tr w:rsidR="005578F8">
        <w:trPr>
          <w:trHeight w:val="670"/>
        </w:trPr>
        <w:tc>
          <w:tcPr>
            <w:tcW w:w="7668" w:type="dxa"/>
          </w:tcPr>
          <w:p w:rsidR="005578F8" w:rsidRDefault="00273C30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5578F8" w:rsidRDefault="005578F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21 </w:t>
            </w:r>
          </w:p>
        </w:tc>
      </w:tr>
      <w:tr w:rsidR="005578F8">
        <w:tc>
          <w:tcPr>
            <w:tcW w:w="7668" w:type="dxa"/>
          </w:tcPr>
          <w:p w:rsidR="005578F8" w:rsidRDefault="00273C30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578F8" w:rsidRDefault="005578F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24 </w:t>
            </w:r>
          </w:p>
        </w:tc>
      </w:tr>
      <w:tr w:rsidR="005578F8">
        <w:tc>
          <w:tcPr>
            <w:tcW w:w="7668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26 </w:t>
            </w:r>
          </w:p>
        </w:tc>
      </w:tr>
    </w:tbl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273C3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5578F8" w:rsidRDefault="00273C3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ОУД.</w:t>
      </w:r>
      <w:r w:rsidR="002E40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12 </w:t>
      </w:r>
      <w:r w:rsidR="002E40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Химия</w:t>
      </w:r>
    </w:p>
    <w:p w:rsidR="005578F8" w:rsidRDefault="00273C30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5578F8" w:rsidRDefault="00273C30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ОУД 12 Химия является частью программы среднего (полного) общего образования по специальности СПО 38.02.01 Экономика и бухгалтерский учёт (по отраслям).</w:t>
      </w:r>
    </w:p>
    <w:p w:rsidR="005578F8" w:rsidRDefault="00273C30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5578F8" w:rsidRDefault="00273C30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ОУД.12 Химия может быть использована в профессиональной подготовке, переподготовке и повышении квалификации рабочих по профессии:</w:t>
      </w:r>
    </w:p>
    <w:p w:rsidR="005578F8" w:rsidRDefault="00273C30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23369 Кассир.</w:t>
      </w:r>
    </w:p>
    <w:p w:rsidR="005578F8" w:rsidRDefault="00273C30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5578F8" w:rsidRDefault="00273C30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12 Химия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5578F8" w:rsidRDefault="00273C30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578F8" w:rsidRDefault="00273C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578F8" w:rsidRDefault="00273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выполнять химический эксперимент по распознаванию важнейших неорганических и органических веществ;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ОК 04, ОК 07. </w:t>
      </w:r>
    </w:p>
    <w:p w:rsidR="005578F8" w:rsidRDefault="00557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26"/>
        <w:gridCol w:w="3155"/>
        <w:gridCol w:w="3290"/>
      </w:tblGrid>
      <w:tr w:rsidR="005578F8">
        <w:tc>
          <w:tcPr>
            <w:tcW w:w="3473" w:type="dxa"/>
            <w:vMerge w:val="restart"/>
            <w:vAlign w:val="center"/>
          </w:tcPr>
          <w:p w:rsidR="005578F8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5578F8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5578F8">
        <w:tc>
          <w:tcPr>
            <w:tcW w:w="3473" w:type="dxa"/>
            <w:vMerge/>
          </w:tcPr>
          <w:p w:rsidR="005578F8" w:rsidRDefault="005578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5578F8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474" w:type="dxa"/>
          </w:tcPr>
          <w:p w:rsidR="005578F8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5578F8">
        <w:tc>
          <w:tcPr>
            <w:tcW w:w="3473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474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трудового воспитания: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активной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действия: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владеть системой химических знаний, которая включает: основополагающие понятия (химический элемент, атом, электронная оболочка атома,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s-, р-,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выявлять характерные признаки и взаимосвязь изученных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578F8">
        <w:tc>
          <w:tcPr>
            <w:tcW w:w="3473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474" w:type="dxa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578F8">
        <w:tc>
          <w:tcPr>
            <w:tcW w:w="3473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ОК04. Эффективно взаимодействовать и работать в коллективе и команде</w:t>
            </w:r>
          </w:p>
        </w:tc>
        <w:tc>
          <w:tcPr>
            <w:tcW w:w="3474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474" w:type="dxa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5578F8">
        <w:tc>
          <w:tcPr>
            <w:tcW w:w="3473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07.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5578F8" w:rsidRDefault="005578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474" w:type="dxa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</w:tbl>
    <w:p w:rsidR="005578F8" w:rsidRDefault="00273C30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5578F8" w:rsidRDefault="005578F8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Default="005578F8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Default="005578F8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Default="00273C30">
      <w:pPr>
        <w:numPr>
          <w:ilvl w:val="0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СТРУКТУРА И СОДЕРЖАНИЕ УЧЕБНОГО ПРЕДМЕТА</w:t>
      </w:r>
    </w:p>
    <w:p w:rsidR="005578F8" w:rsidRDefault="005578F8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78F8" w:rsidRDefault="00273C30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5578F8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5578F8">
        <w:trPr>
          <w:trHeight w:val="567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</w:tcPr>
          <w:p w:rsidR="005578F8" w:rsidRDefault="00273C30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Pr="00477433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477433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5578F8" w:rsidRDefault="00273C30">
            <w:pPr>
              <w:spacing w:after="0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:rsidR="005578F8" w:rsidRDefault="005578F8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:rsidR="005578F8" w:rsidRDefault="00273C30">
            <w:pPr>
              <w:spacing w:after="0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5578F8">
        <w:trPr>
          <w:trHeight w:val="340"/>
        </w:trPr>
        <w:tc>
          <w:tcPr>
            <w:tcW w:w="9785" w:type="dxa"/>
            <w:gridSpan w:val="2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:rsidR="005578F8" w:rsidRDefault="00273C30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5578F8" w:rsidRDefault="005578F8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5578F8" w:rsidRDefault="00273C30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5578F8" w:rsidRDefault="00273C3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309" w:lineRule="exact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vAlign w:val="center"/>
          </w:tcPr>
          <w:p w:rsidR="005578F8" w:rsidRDefault="00273C3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 т.ч.:</w:t>
            </w:r>
          </w:p>
        </w:tc>
        <w:tc>
          <w:tcPr>
            <w:tcW w:w="1844" w:type="dxa"/>
            <w:vAlign w:val="center"/>
          </w:tcPr>
          <w:p w:rsidR="005578F8" w:rsidRDefault="005578F8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vAlign w:val="center"/>
          </w:tcPr>
          <w:p w:rsidR="005578F8" w:rsidRDefault="00273C30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5578F8" w:rsidRDefault="00273C30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5578F8" w:rsidRDefault="005578F8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525"/>
        </w:trPr>
        <w:tc>
          <w:tcPr>
            <w:tcW w:w="7941" w:type="dxa"/>
          </w:tcPr>
          <w:p w:rsidR="005578F8" w:rsidRPr="00477433" w:rsidRDefault="00273C30" w:rsidP="002E4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77433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5578F8" w:rsidRPr="00477433" w:rsidRDefault="005578F8" w:rsidP="002E40E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5578F8" w:rsidRDefault="005578F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78F8" w:rsidRDefault="005578F8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5578F8">
          <w:footerReference w:type="defaul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5578F8" w:rsidRDefault="00273C30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Тематический план и содержание учебного предмета </w:t>
      </w:r>
    </w:p>
    <w:tbl>
      <w:tblPr>
        <w:tblW w:w="1544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1"/>
        <w:gridCol w:w="1338"/>
        <w:gridCol w:w="8"/>
        <w:gridCol w:w="2197"/>
      </w:tblGrid>
      <w:tr w:rsidR="005578F8" w:rsidTr="002E40EB">
        <w:trPr>
          <w:trHeight w:val="20"/>
        </w:trPr>
        <w:tc>
          <w:tcPr>
            <w:tcW w:w="1980" w:type="dxa"/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5578F8" w:rsidRDefault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38" w:type="dxa"/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205" w:type="dxa"/>
            <w:gridSpan w:val="2"/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(ОК),ПК  и личностные результаты (ЛР)</w:t>
            </w:r>
          </w:p>
        </w:tc>
      </w:tr>
      <w:tr w:rsidR="005578F8" w:rsidTr="002E40EB">
        <w:trPr>
          <w:trHeight w:val="20"/>
        </w:trPr>
        <w:tc>
          <w:tcPr>
            <w:tcW w:w="1980" w:type="dxa"/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1" w:type="dxa"/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gridSpan w:val="2"/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E40EB" w:rsidTr="002E40EB">
        <w:trPr>
          <w:trHeight w:val="20"/>
        </w:trPr>
        <w:tc>
          <w:tcPr>
            <w:tcW w:w="13247" w:type="dxa"/>
            <w:gridSpan w:val="4"/>
            <w:vAlign w:val="center"/>
          </w:tcPr>
          <w:p w:rsidR="002E40EB" w:rsidRDefault="002E4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семестр (14 лек + 4 лаб. Занятия + 14 пз)</w:t>
            </w:r>
          </w:p>
        </w:tc>
        <w:tc>
          <w:tcPr>
            <w:tcW w:w="2197" w:type="dxa"/>
            <w:vAlign w:val="center"/>
          </w:tcPr>
          <w:p w:rsidR="002E40EB" w:rsidRDefault="002E4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20"/>
        </w:trPr>
        <w:tc>
          <w:tcPr>
            <w:tcW w:w="11901" w:type="dxa"/>
            <w:gridSpan w:val="2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338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5" w:type="dxa"/>
            <w:gridSpan w:val="2"/>
          </w:tcPr>
          <w:p w:rsidR="005578F8" w:rsidRDefault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270"/>
        </w:trPr>
        <w:tc>
          <w:tcPr>
            <w:tcW w:w="1980" w:type="dxa"/>
            <w:vMerge w:val="restart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</w:tcPr>
          <w:p w:rsidR="005578F8" w:rsidRDefault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997"/>
        </w:trPr>
        <w:tc>
          <w:tcPr>
            <w:tcW w:w="1980" w:type="dxa"/>
            <w:vMerge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1305"/>
        </w:trPr>
        <w:tc>
          <w:tcPr>
            <w:tcW w:w="1980" w:type="dxa"/>
            <w:vMerge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230"/>
        </w:trPr>
        <w:tc>
          <w:tcPr>
            <w:tcW w:w="1980" w:type="dxa"/>
            <w:vMerge w:val="restart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занятие № 2.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практико-ориентированных теоретических заданий на характеризацию химических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1901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2. Химические реакции</w:t>
            </w:r>
          </w:p>
        </w:tc>
        <w:tc>
          <w:tcPr>
            <w:tcW w:w="13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205" w:type="dxa"/>
            <w:gridSpan w:val="2"/>
          </w:tcPr>
          <w:p w:rsidR="005578F8" w:rsidRDefault="005578F8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224"/>
        </w:trPr>
        <w:tc>
          <w:tcPr>
            <w:tcW w:w="1980" w:type="dxa"/>
            <w:vMerge w:val="restart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160"/>
        </w:trPr>
        <w:tc>
          <w:tcPr>
            <w:tcW w:w="1980" w:type="dxa"/>
            <w:vMerge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</w:tcPr>
          <w:p w:rsidR="005578F8" w:rsidRDefault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1911"/>
        </w:trPr>
        <w:tc>
          <w:tcPr>
            <w:tcW w:w="1980" w:type="dxa"/>
            <w:vMerge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vMerge/>
            <w:tcBorders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“Типы химических реакций”. 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05" w:type="dxa"/>
            <w:gridSpan w:val="2"/>
          </w:tcPr>
          <w:p w:rsidR="005578F8" w:rsidRDefault="005578F8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2E40EB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2E40EB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4.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5578F8" w:rsidRDefault="00273C30" w:rsidP="002E40EB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5578F8" w:rsidRDefault="00273C30" w:rsidP="002E40EB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неорганических веществ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  <w:t>8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74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5.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E40EB" w:rsidRPr="002E40EB" w:rsidTr="002E40EB">
        <w:trPr>
          <w:trHeight w:val="320"/>
        </w:trPr>
        <w:tc>
          <w:tcPr>
            <w:tcW w:w="15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40EB" w:rsidRPr="002E40EB" w:rsidRDefault="002E40EB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2E40EB"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2 семестр (20 лек + + лаб. раб. +14 практ.зан.)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Pr="002E40EB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E40EB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gridSpan w:val="2"/>
          </w:tcPr>
          <w:p w:rsidR="005578F8" w:rsidRDefault="005578F8" w:rsidP="002E40EB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244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165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6.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Расчёты простейшей формулы органической молекулы, исходя из элементного состава (в %)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ское занятие № 7.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циклоалканы),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163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9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ское занятие № 8.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превращений),характеризующих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nil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 “Превращения органических веществ при нагревании".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5578F8" w:rsidRDefault="00273C30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4.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работа: “Идентификация органических соединений отдельных классов”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Кинетические и термодинамические закономерности протекания химических реакций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05" w:type="dxa"/>
            <w:gridSpan w:val="2"/>
            <w:vAlign w:val="center"/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Скорость химических реакций. </w:t>
            </w:r>
          </w:p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Химическое равновесие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:rsidR="005578F8" w:rsidRDefault="00273C30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9.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gridSpan w:val="2"/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6.1.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Понятие о растворах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растворов. Растворимость. Массовая доля растворённого вещества. Смысл показателя предельно допуссы определённых веществ.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расчётных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5.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«Приготовление растворов». 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задач на приготовление растворов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280"/>
        </w:trPr>
        <w:tc>
          <w:tcPr>
            <w:tcW w:w="11901" w:type="dxa"/>
            <w:gridSpan w:val="2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38" w:type="dxa"/>
          </w:tcPr>
          <w:p w:rsidR="005578F8" w:rsidRDefault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578F8" w:rsidTr="002E40EB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занятие № 10. </w:t>
            </w: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Поиск и анализ кейсов о применении химических веществ и технологий с учётом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Защита: Представление результатов решения кейсов в форме мини-доклада с презентацией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</w:tcPr>
          <w:p w:rsidR="005578F8" w:rsidRDefault="005578F8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05" w:type="dxa"/>
            <w:gridSpan w:val="2"/>
          </w:tcPr>
          <w:p w:rsidR="005578F8" w:rsidRDefault="005578F8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5578F8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5578F8" w:rsidRDefault="00273C30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УЧЕБНОЙ ДИСЦИПЛИНЫ</w:t>
      </w:r>
    </w:p>
    <w:p w:rsidR="005578F8" w:rsidRDefault="00273C30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5578F8" w:rsidRDefault="00273C30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 реализуется в:</w:t>
      </w:r>
    </w:p>
    <w:p w:rsidR="005578F8" w:rsidRDefault="00273C30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 учебном кабинете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Кабинет №2416</w:t>
      </w:r>
    </w:p>
    <w:p w:rsidR="005578F8" w:rsidRDefault="00273C30">
      <w:pPr>
        <w:shd w:val="clear" w:color="auto" w:fill="FFFFFF"/>
        <w:tabs>
          <w:tab w:val="left" w:pos="993"/>
        </w:tabs>
        <w:spacing w:after="0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5578F8" w:rsidRDefault="00273C30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5578F8" w:rsidRDefault="00273C30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5578F8" w:rsidRDefault="00273C30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5578F8" w:rsidRDefault="00273C30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оска аудиторная ДА -349 -1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шкаф вытяжной демонстрационный напольный без (хим)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</w:t>
      </w:r>
    </w:p>
    <w:p w:rsidR="005578F8" w:rsidRDefault="00273C30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Наборы коллекций: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"Чугун и сталь"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"Алюминий",  "Волокна",  "Металлы",  "Минералы и горные породы", "Минеральные удобрения"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"Нефть и важнейшие продукты ее переработки"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"Пластмассы"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"Топливо";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"Шкала твердости"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5578F8" w:rsidRDefault="00273C30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переносной, э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кран для динамических пособий.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5578F8" w:rsidRDefault="00273C30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Учебно-наглядные пособия - комплект плакатов химиков</w:t>
      </w:r>
    </w:p>
    <w:p w:rsidR="005578F8" w:rsidRDefault="00273C30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5578F8" w:rsidRDefault="00273C30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5578F8" w:rsidRDefault="00273C30">
      <w:pPr>
        <w:spacing w:after="0"/>
        <w:ind w:left="142" w:firstLine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Лаборатория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«Химия» №2415</w:t>
      </w:r>
    </w:p>
    <w:p w:rsidR="005578F8" w:rsidRDefault="00273C30">
      <w:pPr>
        <w:spacing w:after="0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комплект учебной мебели (столы ученические, стулья ученические, стол преподавателя, стул преподавателя), шкаф для одежды – 1шт., шкаф книжный – 1шт., шкаф с полками- 1 шт., </w:t>
      </w:r>
    </w:p>
    <w:p w:rsidR="005578F8" w:rsidRDefault="00273C30">
      <w:pPr>
        <w:spacing w:after="0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Лабораторное оборудование: весы HP-200 (1 шт.); набор лабораторной посуды и принадлежностей; оборудование для демонстрации химических опытов, стол демонстрационный химический, стол лабораторный химический (2 шт.), стол лабораторный с мойкой и сушилкой, стул лабораторный, тумба металлическая подкатная, шкаф для посуды и приборов (хим.), шкаф для хранения химических реактивов, шкаф медицинский ШММ 2, тележка химическая.</w:t>
      </w:r>
    </w:p>
    <w:p w:rsidR="005578F8" w:rsidRDefault="00273C30">
      <w:pPr>
        <w:spacing w:after="0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Наборы демонстрационные: "Набор химических элементов", " Набор неорганика", «Набор  для составления  объемных моделей молекул». </w:t>
      </w:r>
    </w:p>
    <w:p w:rsidR="005578F8" w:rsidRDefault="00273C30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таблица "Периодическая  система химических элементов Менделеева"- 1 шт.; Таблица "Растворимость солей, кислот и оснований в воде" - 1 шт.;</w:t>
      </w:r>
    </w:p>
    <w:p w:rsidR="005578F8" w:rsidRDefault="00273C3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5578F8" w:rsidRDefault="00273C3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5578F8" w:rsidRDefault="00273C3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5578F8" w:rsidRDefault="00273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5578F8" w:rsidRDefault="00273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5578F8" w:rsidRDefault="00273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5578F8" w:rsidRDefault="00273C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5578F8" w:rsidRDefault="00273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5578F8" w:rsidRDefault="00273C3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578F8" w:rsidRDefault="00273C3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5578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Лебедев Ю. А., Фадеев Г. Н., Голубев А. М., Шаповал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для среднего профессионального образования 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431 с. режим доступа: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5578F8" w:rsidRDefault="009979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0" w:tgtFrame="_blank" w:history="1">
              <w:r w:rsidR="00273C30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https://urait.ru/bcode/513073</w:t>
              </w:r>
            </w:hyperlink>
            <w:r w:rsidR="00273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78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1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https://urait.ru/bcode/513807</w:t>
              </w:r>
            </w:hyperlink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78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Химия : учебник и практикум для среднего 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507 с. — (Профессиональное образование). режим доступа:</w:t>
            </w:r>
            <w:r>
              <w:t xml:space="preserve"> </w:t>
            </w:r>
            <w:hyperlink r:id="rId12" w:tgtFrame="_blank" w:history="1">
              <w:r>
                <w:rPr>
                  <w:rStyle w:val="a7"/>
                </w:rPr>
                <w:t>https://urait.ru/bcode/513537</w:t>
              </w:r>
            </w:hyperlink>
            <w: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5578F8" w:rsidRDefault="005578F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578F8" w:rsidRDefault="005578F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09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1970"/>
        <w:gridCol w:w="1984"/>
        <w:gridCol w:w="2835"/>
        <w:gridCol w:w="2977"/>
      </w:tblGrid>
      <w:tr w:rsidR="005578F8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3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78F8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>
              <w:t xml:space="preserve"> </w:t>
            </w:r>
            <w:hyperlink r:id="rId14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https://urait.ru/bcode/512022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5578F8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578F8" w:rsidRDefault="00273C30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3.2.4. Перечень профессиональных баз данных и информационных справочных систем:</w:t>
      </w:r>
    </w:p>
    <w:p w:rsidR="005578F8" w:rsidRDefault="009979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Не предусмотрены</w:t>
      </w:r>
      <w:bookmarkStart w:id="1" w:name="_GoBack"/>
      <w:bookmarkEnd w:id="1"/>
    </w:p>
    <w:p w:rsidR="005578F8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578F8" w:rsidRDefault="005578F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5578F8" w:rsidRDefault="005578F8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78F8" w:rsidRDefault="005578F8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5578F8" w:rsidRDefault="00273C30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578F8" w:rsidRDefault="00273C30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5578F8" w:rsidRDefault="00273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5578F8" w:rsidRDefault="00273C3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5578F8" w:rsidRDefault="005578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460"/>
        <w:gridCol w:w="2873"/>
      </w:tblGrid>
      <w:tr w:rsidR="005578F8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88" w:lineRule="exact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88" w:lineRule="exact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5578F8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88" w:lineRule="exact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  <w:p w:rsidR="005578F8" w:rsidRDefault="005578F8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308" w:lineRule="exact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5578F8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56" w:lineRule="auto"/>
              <w:ind w:left="107" w:right="14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современные средства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анализа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информации и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5578F8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56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04.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взаимодействовать и работать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коллективе и команде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5578F8" w:rsidRDefault="005578F8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5578F8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56" w:lineRule="auto"/>
              <w:ind w:left="107" w:right="3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07. Содействовать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сохранению окружающей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применять знания об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бережливого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чрезвычайных ситуациях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информации;</w:t>
            </w:r>
          </w:p>
          <w:p w:rsidR="005578F8" w:rsidRDefault="0055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8F8" w:rsidRDefault="005578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578F8" w:rsidRDefault="00273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5578F8" w:rsidRDefault="0055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5578F8" w:rsidRDefault="00273C3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5578F8" w:rsidRDefault="00273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5578F8" w:rsidRDefault="005578F8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5578F8" w:rsidRDefault="005578F8">
      <w:pPr>
        <w:ind w:firstLine="709"/>
        <w:rPr>
          <w:rFonts w:ascii="Calibri" w:eastAsia="Times New Roman" w:hAnsi="Calibri" w:cs="Times New Roman"/>
          <w:lang w:eastAsia="ru-RU"/>
        </w:rPr>
      </w:pPr>
    </w:p>
    <w:p w:rsidR="005578F8" w:rsidRDefault="005578F8"/>
    <w:p w:rsidR="005578F8" w:rsidRDefault="005578F8"/>
    <w:sectPr w:rsidR="005578F8">
      <w:footerReference w:type="even" r:id="rId15"/>
      <w:footerReference w:type="default" r:id="rId16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F8" w:rsidRDefault="00273C30">
      <w:pPr>
        <w:spacing w:line="240" w:lineRule="auto"/>
      </w:pPr>
      <w:r>
        <w:separator/>
      </w:r>
    </w:p>
  </w:endnote>
  <w:endnote w:type="continuationSeparator" w:id="0">
    <w:p w:rsidR="005578F8" w:rsidRDefault="00273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AutoText"/>
      </w:docPartObj>
    </w:sdtPr>
    <w:sdtEndPr/>
    <w:sdtContent>
      <w:p w:rsidR="005578F8" w:rsidRDefault="005578F8">
        <w:pPr>
          <w:pStyle w:val="af9"/>
          <w:jc w:val="center"/>
        </w:pPr>
      </w:p>
      <w:p w:rsidR="005578F8" w:rsidRDefault="00273C30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9F8">
          <w:rPr>
            <w:noProof/>
          </w:rPr>
          <w:t>11</w:t>
        </w:r>
        <w:r>
          <w:fldChar w:fldCharType="end"/>
        </w:r>
      </w:p>
    </w:sdtContent>
  </w:sdt>
  <w:p w:rsidR="005578F8" w:rsidRDefault="005578F8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5578F8" w:rsidRDefault="00273C30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5578F8" w:rsidRDefault="005578F8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F8" w:rsidRDefault="00273C30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78F8" w:rsidRDefault="005578F8">
    <w:pPr>
      <w:pStyle w:val="af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271045"/>
      <w:docPartObj>
        <w:docPartGallery w:val="AutoText"/>
      </w:docPartObj>
    </w:sdtPr>
    <w:sdtEndPr/>
    <w:sdtContent>
      <w:p w:rsidR="005578F8" w:rsidRDefault="00273C30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9F8">
          <w:rPr>
            <w:noProof/>
          </w:rPr>
          <w:t>21</w:t>
        </w:r>
        <w:r>
          <w:fldChar w:fldCharType="end"/>
        </w:r>
      </w:p>
    </w:sdtContent>
  </w:sdt>
  <w:p w:rsidR="005578F8" w:rsidRDefault="005578F8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F8" w:rsidRDefault="00273C30">
      <w:pPr>
        <w:spacing w:after="0"/>
      </w:pPr>
      <w:r>
        <w:separator/>
      </w:r>
    </w:p>
  </w:footnote>
  <w:footnote w:type="continuationSeparator" w:id="0">
    <w:p w:rsidR="005578F8" w:rsidRDefault="00273C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E5"/>
    <w:rsid w:val="0000307F"/>
    <w:rsid w:val="00025A4D"/>
    <w:rsid w:val="0014258C"/>
    <w:rsid w:val="00151522"/>
    <w:rsid w:val="001529DA"/>
    <w:rsid w:val="001E6C11"/>
    <w:rsid w:val="00214AE5"/>
    <w:rsid w:val="0022483D"/>
    <w:rsid w:val="00272C90"/>
    <w:rsid w:val="00273C30"/>
    <w:rsid w:val="0029521B"/>
    <w:rsid w:val="002B20C2"/>
    <w:rsid w:val="002E40EB"/>
    <w:rsid w:val="00310A84"/>
    <w:rsid w:val="003613F2"/>
    <w:rsid w:val="003F7472"/>
    <w:rsid w:val="00477433"/>
    <w:rsid w:val="00542B78"/>
    <w:rsid w:val="005578F8"/>
    <w:rsid w:val="006E364D"/>
    <w:rsid w:val="0072646B"/>
    <w:rsid w:val="00784F65"/>
    <w:rsid w:val="00870452"/>
    <w:rsid w:val="0087168B"/>
    <w:rsid w:val="008A00E6"/>
    <w:rsid w:val="00990BF4"/>
    <w:rsid w:val="009979F8"/>
    <w:rsid w:val="00AE7D56"/>
    <w:rsid w:val="00BB7701"/>
    <w:rsid w:val="00CB72E3"/>
    <w:rsid w:val="00D34C7D"/>
    <w:rsid w:val="00DB4633"/>
    <w:rsid w:val="00EC43B1"/>
    <w:rsid w:val="00EE4DA0"/>
    <w:rsid w:val="00F13B0C"/>
    <w:rsid w:val="00FD23D0"/>
    <w:rsid w:val="07903D1B"/>
    <w:rsid w:val="1D6F2322"/>
    <w:rsid w:val="34B46F19"/>
    <w:rsid w:val="42736909"/>
    <w:rsid w:val="4CA67D94"/>
    <w:rsid w:val="55E81EB7"/>
    <w:rsid w:val="705C06F5"/>
    <w:rsid w:val="73E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1494"/>
  <w15:docId w15:val="{9410875F-9346-4A7C-81D6-A03CE49D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qFormat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</w:style>
  <w:style w:type="character" w:customStyle="1" w:styleId="14">
    <w:name w:val="Нижний колонтитул Знак1"/>
    <w:basedOn w:val="a1"/>
    <w:link w:val="af9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qFormat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  <w:qFormat/>
  </w:style>
  <w:style w:type="character" w:customStyle="1" w:styleId="afd">
    <w:name w:val="Абзац списка Знак"/>
    <w:link w:val="afc"/>
    <w:uiPriority w:val="99"/>
    <w:qFormat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аголовок Знак"/>
    <w:basedOn w:val="a1"/>
    <w:link w:val="af7"/>
    <w:uiPriority w:val="99"/>
    <w:qFormat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qFormat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qFormat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qFormat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qFormat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qFormat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qFormat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qFormat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qFormat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qFormat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qFormat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309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353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38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urait.ru/bcode/51307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D07F-5586-4BB4-958D-19B5B08A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25</Pages>
  <Words>6747</Words>
  <Characters>38463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14</cp:revision>
  <cp:lastPrinted>2024-11-14T12:21:00Z</cp:lastPrinted>
  <dcterms:created xsi:type="dcterms:W3CDTF">2023-07-18T05:26:00Z</dcterms:created>
  <dcterms:modified xsi:type="dcterms:W3CDTF">2025-04-03T10:36:00Z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3910685AAB164C1990A1D9F511CB5354</vt:lpwstr>
  </property>
</Properties>
</file>