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4AD678EE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5C6F72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4073A13C" w14:textId="5C7068A1" w:rsidR="00920D55" w:rsidRPr="00920D55" w:rsidRDefault="00153B32" w:rsidP="00A5619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bookmarkStart w:id="0" w:name="_GoBack"/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6B180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bookmarkEnd w:id="0"/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64287270" w14:textId="0F74F35C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Прочитайте текст и выберите верный ответ:</w:t>
            </w:r>
          </w:p>
          <w:p w14:paraId="355AAB3C" w14:textId="1C618498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22FCA3E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51288D9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1BCBBEF2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 xml:space="preserve"> в) земли </w:t>
            </w:r>
            <w:proofErr w:type="spellStart"/>
            <w:r w:rsidRPr="004813E2">
              <w:rPr>
                <w:rStyle w:val="c0"/>
                <w:sz w:val="20"/>
                <w:szCs w:val="20"/>
              </w:rPr>
              <w:t>ливов</w:t>
            </w:r>
            <w:proofErr w:type="spellEnd"/>
            <w:r w:rsidRPr="004813E2">
              <w:rPr>
                <w:rStyle w:val="c0"/>
                <w:sz w:val="20"/>
                <w:szCs w:val="20"/>
              </w:rPr>
              <w:t xml:space="preserve"> и эстов вошли в состав Новгородской земли</w:t>
            </w:r>
          </w:p>
          <w:p w14:paraId="49297E26" w14:textId="7268FBD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254DD4" w14:textId="6ADFA2A3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Выберите верный ответ для продолжения предложения:</w:t>
            </w:r>
          </w:p>
          <w:p w14:paraId="1CB28AB1" w14:textId="0E6146BC" w:rsidR="00D74FB6" w:rsidRPr="004813E2" w:rsidRDefault="0037475F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Ал</w:t>
            </w:r>
            <w:r w:rsidR="00D74FB6" w:rsidRPr="004813E2">
              <w:rPr>
                <w:rStyle w:val="c6"/>
                <w:sz w:val="20"/>
                <w:szCs w:val="20"/>
              </w:rPr>
              <w:t>ександр Невский был современником:</w:t>
            </w:r>
          </w:p>
          <w:p w14:paraId="087F799A" w14:textId="409159B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232BA4C3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5C5C9A2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6793287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1384CDC1" w:rsidR="00253313" w:rsidRPr="004813E2" w:rsidRDefault="00253313" w:rsidP="00777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7D4584D0" w14:textId="78DBE621" w:rsidR="00DB03AD" w:rsidRPr="004813E2" w:rsidRDefault="00DB03AD" w:rsidP="00777A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смену </w:t>
            </w: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митрополит </w:t>
                  </w:r>
                  <w:proofErr w:type="spellStart"/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Макарий</w:t>
                  </w:r>
                  <w:proofErr w:type="spellEnd"/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01DE381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4232D6" w:rsidRPr="004813E2">
              <w:rPr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16647250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845009" w:rsidRPr="004813E2">
              <w:rPr>
                <w:sz w:val="20"/>
                <w:szCs w:val="20"/>
              </w:rPr>
              <w:t>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в) А.И. </w:t>
            </w:r>
            <w:proofErr w:type="spellStart"/>
            <w:r w:rsidRPr="004813E2">
              <w:rPr>
                <w:sz w:val="20"/>
                <w:szCs w:val="20"/>
              </w:rPr>
              <w:t>Бибиков</w:t>
            </w:r>
            <w:proofErr w:type="spellEnd"/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3BE23F7C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верный ответ на вопрос: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B14C5AB" w14:textId="338A7108" w:rsidR="0037475F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верные ответы по данному тексту: </w:t>
            </w:r>
            <w:r w:rsidRPr="004813E2">
              <w:rPr>
                <w:color w:val="000000"/>
                <w:sz w:val="20"/>
                <w:szCs w:val="20"/>
              </w:rPr>
              <w:t xml:space="preserve"> </w:t>
            </w:r>
          </w:p>
          <w:p w14:paraId="1CBC340E" w14:textId="71AA3DE1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</w:t>
            </w:r>
            <w:proofErr w:type="spellStart"/>
            <w:r w:rsidR="007552A8" w:rsidRPr="004813E2">
              <w:rPr>
                <w:sz w:val="20"/>
                <w:szCs w:val="20"/>
              </w:rPr>
              <w:t>Верденская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1E03DF5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на вопрос: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213FF25" w14:textId="3FEC9204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062765">
              <w:rPr>
                <w:rStyle w:val="c6"/>
                <w:sz w:val="20"/>
                <w:szCs w:val="20"/>
              </w:rPr>
              <w:t>Прочитайте вопрос</w:t>
            </w:r>
            <w:r w:rsidR="001E7272">
              <w:rPr>
                <w:rStyle w:val="c6"/>
                <w:sz w:val="20"/>
                <w:szCs w:val="20"/>
              </w:rPr>
              <w:t xml:space="preserve"> и выберите верный ответ:</w:t>
            </w:r>
          </w:p>
          <w:p w14:paraId="0F19FDA9" w14:textId="546FDA3B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AB70B89" w14:textId="5039378A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29.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1D6BF93F" w14:textId="4E234912" w:rsidR="00604475" w:rsidRPr="004813E2" w:rsidRDefault="00C45C6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5E2B03" w14:textId="428E419E" w:rsidR="00062765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30.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419C0DA7" w14:textId="10BC06D1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22570D2" w14:textId="7A1F81D2" w:rsidR="00062765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</w:t>
            </w:r>
            <w:r w:rsidR="00062765">
              <w:rPr>
                <w:sz w:val="20"/>
                <w:szCs w:val="20"/>
              </w:rPr>
              <w:t>:</w:t>
            </w:r>
          </w:p>
          <w:p w14:paraId="552EE825" w14:textId="6CFA0085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</w:t>
            </w:r>
            <w:r w:rsidR="00772E33">
              <w:rPr>
                <w:sz w:val="20"/>
                <w:szCs w:val="20"/>
              </w:rPr>
              <w:t xml:space="preserve">кретарём ЦК КПСС произошло в … 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C609E46" w14:textId="31A4BF5E" w:rsidR="00772E33" w:rsidRDefault="00604475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41FA908" w14:textId="6EBAEC5C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772E33">
              <w:rPr>
                <w:sz w:val="20"/>
                <w:szCs w:val="20"/>
              </w:rPr>
              <w:t xml:space="preserve"> 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7ADFE" w14:textId="55682C2F" w:rsidR="00772E33" w:rsidRPr="00772E33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8637BFF" w14:textId="58781184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772E33">
              <w:rPr>
                <w:sz w:val="20"/>
                <w:szCs w:val="20"/>
              </w:rPr>
              <w:t xml:space="preserve">.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F3AD1AF" w14:textId="37CB7CEF" w:rsidR="00772E3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40B1FAE8" w14:textId="1873D839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20D0D2E" w14:textId="20336FCA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BC82DD8" w14:textId="1484B47E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6E2B3A5E" w14:textId="224B2BC5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41662FC" w14:textId="70545419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F5FF9B9" w14:textId="2204870E" w:rsidR="00772E33" w:rsidRDefault="00FD5F1C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буквы с правильным ответом:</w:t>
            </w:r>
          </w:p>
          <w:p w14:paraId="03E741BA" w14:textId="4766D757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276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E727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7475F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C6F72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1802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72E33"/>
    <w:rsid w:val="00777AF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B6B4A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0B63-43E3-4D08-8A10-B0738690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58</cp:revision>
  <cp:lastPrinted>2025-12-15T09:46:00Z</cp:lastPrinted>
  <dcterms:created xsi:type="dcterms:W3CDTF">2026-02-11T12:36:00Z</dcterms:created>
  <dcterms:modified xsi:type="dcterms:W3CDTF">2026-06-19T14:14:00Z</dcterms:modified>
</cp:coreProperties>
</file>